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5B323" w14:textId="08EF1993" w:rsidR="007B2C0F" w:rsidRPr="00880330" w:rsidRDefault="007B2C0F" w:rsidP="00880330">
      <w:pPr>
        <w:pStyle w:val="Default"/>
        <w:spacing w:line="360" w:lineRule="auto"/>
        <w:jc w:val="center"/>
        <w:rPr>
          <w:rFonts w:ascii="Tahoma" w:hAnsi="Tahoma" w:cs="Tahoma"/>
          <w:b/>
          <w:sz w:val="24"/>
          <w:szCs w:val="24"/>
          <w:lang w:val="pt-PT"/>
        </w:rPr>
      </w:pPr>
    </w:p>
    <w:p w14:paraId="7EDCF7B6" w14:textId="77777777" w:rsidR="00987D41" w:rsidRPr="00AD3738" w:rsidRDefault="00402EB0" w:rsidP="00987D41">
      <w:pPr>
        <w:pStyle w:val="Default"/>
        <w:spacing w:line="360" w:lineRule="auto"/>
        <w:rPr>
          <w:rFonts w:ascii="Tahoma" w:hAnsi="Tahoma" w:cs="Tahoma"/>
          <w:b/>
          <w:bCs/>
          <w:sz w:val="24"/>
          <w:szCs w:val="24"/>
          <w:lang w:val="en-GB"/>
        </w:rPr>
      </w:pPr>
      <w:r w:rsidRPr="00AD3738">
        <w:rPr>
          <w:rFonts w:ascii="Tahoma" w:hAnsi="Tahoma" w:cs="Tahoma"/>
          <w:b/>
          <w:bCs/>
          <w:sz w:val="24"/>
          <w:szCs w:val="24"/>
          <w:lang w:val="en-GB"/>
        </w:rPr>
        <w:t xml:space="preserve">Grant Agreement </w:t>
      </w:r>
      <w:r w:rsidR="00987D41" w:rsidRPr="00AD3738">
        <w:rPr>
          <w:rFonts w:ascii="Tahoma" w:hAnsi="Tahoma" w:cs="Tahoma"/>
          <w:b/>
          <w:bCs/>
          <w:sz w:val="24"/>
          <w:szCs w:val="24"/>
          <w:lang w:val="en-GB"/>
        </w:rPr>
        <w:t xml:space="preserve">number: </w:t>
      </w:r>
      <w:r w:rsidR="00987D41" w:rsidRPr="00AD3738">
        <w:rPr>
          <w:rFonts w:ascii="Tahoma" w:hAnsi="Tahoma" w:cs="Tahoma"/>
          <w:bCs/>
          <w:sz w:val="24"/>
          <w:szCs w:val="24"/>
          <w:lang w:val="en-GB"/>
        </w:rPr>
        <w:t>INEA/CEF/TRAN/M 2018/1796634</w:t>
      </w:r>
    </w:p>
    <w:p w14:paraId="7E17F507" w14:textId="77777777" w:rsidR="007B2C0F" w:rsidRPr="00AD3738" w:rsidRDefault="00E24C9D" w:rsidP="00987D41">
      <w:pPr>
        <w:pStyle w:val="Default"/>
        <w:spacing w:line="360" w:lineRule="auto"/>
        <w:rPr>
          <w:rFonts w:ascii="Tahoma" w:hAnsi="Tahoma" w:cs="Tahoma"/>
          <w:bCs/>
          <w:sz w:val="24"/>
          <w:szCs w:val="24"/>
          <w:lang w:val="en-GB"/>
        </w:rPr>
      </w:pPr>
      <w:r w:rsidRPr="00AD3738">
        <w:rPr>
          <w:rFonts w:ascii="Tahoma" w:hAnsi="Tahoma" w:cs="Tahoma"/>
          <w:b/>
          <w:bCs/>
          <w:sz w:val="24"/>
          <w:szCs w:val="24"/>
          <w:lang w:val="en-GB"/>
        </w:rPr>
        <w:t xml:space="preserve">Action: </w:t>
      </w:r>
      <w:r w:rsidRPr="00AD3738">
        <w:rPr>
          <w:rFonts w:ascii="Tahoma" w:hAnsi="Tahoma" w:cs="Tahoma"/>
          <w:bCs/>
          <w:sz w:val="24"/>
          <w:szCs w:val="24"/>
          <w:lang w:val="en-GB"/>
        </w:rPr>
        <w:t>Cooperative Streets (C-Streets)</w:t>
      </w:r>
    </w:p>
    <w:p w14:paraId="78200DBE" w14:textId="77777777" w:rsidR="00EB2213" w:rsidRPr="00531F9E" w:rsidRDefault="00E24C9D" w:rsidP="00BA6F62">
      <w:pPr>
        <w:pStyle w:val="Default"/>
        <w:spacing w:line="360" w:lineRule="auto"/>
        <w:rPr>
          <w:rFonts w:ascii="Tahoma" w:hAnsi="Tahoma" w:cs="Tahoma"/>
          <w:b/>
          <w:sz w:val="24"/>
          <w:szCs w:val="24"/>
          <w:lang w:val="pt-PT"/>
        </w:rPr>
      </w:pPr>
      <w:proofErr w:type="spellStart"/>
      <w:r w:rsidRPr="00531F9E">
        <w:rPr>
          <w:rFonts w:ascii="Tahoma" w:hAnsi="Tahoma" w:cs="Tahoma"/>
          <w:b/>
          <w:bCs/>
          <w:sz w:val="24"/>
          <w:szCs w:val="24"/>
          <w:lang w:val="pt-PT"/>
        </w:rPr>
        <w:t>Action</w:t>
      </w:r>
      <w:proofErr w:type="spellEnd"/>
      <w:r w:rsidRPr="00531F9E">
        <w:rPr>
          <w:rFonts w:ascii="Tahoma" w:hAnsi="Tahoma" w:cs="Tahoma"/>
          <w:b/>
          <w:bCs/>
          <w:sz w:val="24"/>
          <w:szCs w:val="24"/>
          <w:lang w:val="pt-PT"/>
        </w:rPr>
        <w:t xml:space="preserve"> </w:t>
      </w:r>
      <w:proofErr w:type="spellStart"/>
      <w:r w:rsidRPr="00531F9E">
        <w:rPr>
          <w:rFonts w:ascii="Tahoma" w:hAnsi="Tahoma" w:cs="Tahoma"/>
          <w:b/>
          <w:bCs/>
          <w:sz w:val="24"/>
          <w:szCs w:val="24"/>
          <w:lang w:val="pt-PT"/>
        </w:rPr>
        <w:t>number</w:t>
      </w:r>
      <w:proofErr w:type="spellEnd"/>
      <w:r w:rsidRPr="00531F9E">
        <w:rPr>
          <w:rFonts w:ascii="Tahoma" w:hAnsi="Tahoma" w:cs="Tahoma"/>
          <w:b/>
          <w:bCs/>
          <w:sz w:val="24"/>
          <w:szCs w:val="24"/>
          <w:lang w:val="pt-PT"/>
        </w:rPr>
        <w:t xml:space="preserve">: </w:t>
      </w:r>
      <w:r w:rsidRPr="00531F9E">
        <w:rPr>
          <w:rFonts w:ascii="Tahoma" w:hAnsi="Tahoma" w:cs="Tahoma"/>
          <w:bCs/>
          <w:sz w:val="24"/>
          <w:szCs w:val="24"/>
          <w:lang w:val="pt-PT"/>
        </w:rPr>
        <w:t>2018-PT-TM-0099-S</w:t>
      </w:r>
    </w:p>
    <w:p w14:paraId="00BC2A23" w14:textId="753DADA1" w:rsidR="00D221ED" w:rsidRPr="00AD3738" w:rsidRDefault="001F0C7A" w:rsidP="007B2C0F">
      <w:pPr>
        <w:pStyle w:val="Default"/>
        <w:spacing w:line="360" w:lineRule="auto"/>
        <w:jc w:val="both"/>
        <w:rPr>
          <w:rFonts w:ascii="Tahoma" w:hAnsi="Tahoma" w:cs="Tahoma"/>
          <w:sz w:val="24"/>
          <w:szCs w:val="24"/>
          <w:lang w:val="pt-PT"/>
        </w:rPr>
      </w:pPr>
      <w:r>
        <w:rPr>
          <w:rFonts w:ascii="Tahoma" w:hAnsi="Tahoma" w:cs="Tahoma"/>
          <w:b/>
          <w:sz w:val="24"/>
          <w:szCs w:val="24"/>
          <w:lang w:val="pt-PT"/>
        </w:rPr>
        <w:t>Project Leader</w:t>
      </w:r>
      <w:r w:rsidR="00D221ED" w:rsidRPr="00AD3738">
        <w:rPr>
          <w:rFonts w:ascii="Tahoma" w:hAnsi="Tahoma" w:cs="Tahoma"/>
          <w:b/>
          <w:sz w:val="24"/>
          <w:szCs w:val="24"/>
          <w:lang w:val="pt-PT"/>
        </w:rPr>
        <w:t>:</w:t>
      </w:r>
      <w:r w:rsidR="00D221ED" w:rsidRPr="00AD3738">
        <w:rPr>
          <w:rFonts w:ascii="Tahoma" w:hAnsi="Tahoma" w:cs="Tahoma"/>
          <w:sz w:val="24"/>
          <w:szCs w:val="24"/>
          <w:lang w:val="pt-PT"/>
        </w:rPr>
        <w:t xml:space="preserve"> </w:t>
      </w:r>
      <w:r w:rsidR="00BA6F62" w:rsidRPr="00AD3738">
        <w:rPr>
          <w:rFonts w:ascii="Tahoma" w:hAnsi="Tahoma" w:cs="Tahoma"/>
          <w:sz w:val="24"/>
          <w:szCs w:val="24"/>
          <w:lang w:val="pt-PT"/>
        </w:rPr>
        <w:t>IMT – Instituto de Mobilidade e dos Transportes, I.P.</w:t>
      </w:r>
    </w:p>
    <w:p w14:paraId="4DA93AC9" w14:textId="2B3E45A7" w:rsidR="00EB2213" w:rsidRPr="00531F9E" w:rsidRDefault="001F0C7A" w:rsidP="007B2C0F">
      <w:pPr>
        <w:pStyle w:val="Standard"/>
        <w:spacing w:line="360" w:lineRule="auto"/>
        <w:jc w:val="both"/>
        <w:rPr>
          <w:rFonts w:ascii="Tahoma" w:hAnsi="Tahoma" w:cs="Tahoma"/>
          <w:lang w:val="en-GB"/>
        </w:rPr>
      </w:pPr>
      <w:r w:rsidRPr="00531F9E">
        <w:rPr>
          <w:rFonts w:ascii="Tahoma" w:hAnsi="Tahoma" w:cs="Tahoma"/>
          <w:b/>
          <w:lang w:val="en-GB"/>
        </w:rPr>
        <w:t>Starting Date</w:t>
      </w:r>
      <w:r w:rsidR="00522B84" w:rsidRPr="00531F9E">
        <w:rPr>
          <w:rFonts w:ascii="Tahoma" w:hAnsi="Tahoma" w:cs="Tahoma"/>
          <w:b/>
          <w:lang w:val="en-GB"/>
        </w:rPr>
        <w:t xml:space="preserve">: </w:t>
      </w:r>
      <w:r w:rsidR="00522B84" w:rsidRPr="00531F9E">
        <w:rPr>
          <w:rFonts w:ascii="Tahoma" w:hAnsi="Tahoma" w:cs="Tahoma"/>
          <w:lang w:val="en-GB"/>
        </w:rPr>
        <w:t>01/01/2019</w:t>
      </w:r>
    </w:p>
    <w:p w14:paraId="70410217" w14:textId="3D6E5016" w:rsidR="007B2C0F" w:rsidRPr="00531F9E" w:rsidRDefault="001F0C7A" w:rsidP="007B2C0F">
      <w:pPr>
        <w:pStyle w:val="Default"/>
        <w:spacing w:line="360" w:lineRule="auto"/>
        <w:jc w:val="both"/>
        <w:rPr>
          <w:rFonts w:ascii="Tahoma" w:hAnsi="Tahoma" w:cs="Tahoma"/>
          <w:sz w:val="24"/>
          <w:szCs w:val="24"/>
          <w:lang w:val="en-GB"/>
        </w:rPr>
      </w:pPr>
      <w:r w:rsidRPr="00531F9E">
        <w:rPr>
          <w:rFonts w:ascii="Tahoma" w:hAnsi="Tahoma" w:cs="Tahoma"/>
          <w:b/>
          <w:sz w:val="24"/>
          <w:szCs w:val="24"/>
          <w:lang w:val="en-GB"/>
        </w:rPr>
        <w:t>Completion Date</w:t>
      </w:r>
      <w:r w:rsidR="00522B84" w:rsidRPr="00531F9E">
        <w:rPr>
          <w:rFonts w:ascii="Tahoma" w:hAnsi="Tahoma" w:cs="Tahoma"/>
          <w:b/>
          <w:sz w:val="24"/>
          <w:szCs w:val="24"/>
          <w:lang w:val="en-GB"/>
        </w:rPr>
        <w:t xml:space="preserve">: </w:t>
      </w:r>
      <w:r w:rsidR="00522B84" w:rsidRPr="00531F9E">
        <w:rPr>
          <w:rFonts w:ascii="Tahoma" w:hAnsi="Tahoma" w:cs="Tahoma"/>
          <w:sz w:val="24"/>
          <w:szCs w:val="24"/>
          <w:lang w:val="en-GB"/>
        </w:rPr>
        <w:t>31/12/2023</w:t>
      </w:r>
    </w:p>
    <w:p w14:paraId="203222B9" w14:textId="0557E0C6" w:rsidR="00C86C2D" w:rsidRPr="00531F9E" w:rsidRDefault="001F0C7A" w:rsidP="003D7475">
      <w:pPr>
        <w:pStyle w:val="Default"/>
        <w:spacing w:line="360" w:lineRule="auto"/>
        <w:jc w:val="both"/>
        <w:rPr>
          <w:rFonts w:ascii="Tahoma" w:hAnsi="Tahoma" w:cs="Tahoma"/>
          <w:sz w:val="24"/>
          <w:szCs w:val="24"/>
          <w:lang w:val="en-GB"/>
        </w:rPr>
      </w:pPr>
      <w:r w:rsidRPr="00531F9E">
        <w:rPr>
          <w:rFonts w:ascii="Tahoma" w:hAnsi="Tahoma" w:cs="Tahoma"/>
          <w:b/>
          <w:sz w:val="24"/>
          <w:szCs w:val="24"/>
          <w:lang w:val="en-GB"/>
        </w:rPr>
        <w:t>Total Estimated Eligible Costs</w:t>
      </w:r>
      <w:r w:rsidR="007B2C0F" w:rsidRPr="00531F9E">
        <w:rPr>
          <w:rFonts w:ascii="Tahoma" w:hAnsi="Tahoma" w:cs="Tahoma"/>
          <w:b/>
          <w:sz w:val="24"/>
          <w:szCs w:val="24"/>
          <w:lang w:val="en-GB"/>
        </w:rPr>
        <w:t>:</w:t>
      </w:r>
      <w:r w:rsidR="007B2C0F" w:rsidRPr="00531F9E">
        <w:rPr>
          <w:rFonts w:ascii="Tahoma" w:hAnsi="Tahoma" w:cs="Tahoma"/>
          <w:sz w:val="24"/>
          <w:szCs w:val="24"/>
          <w:lang w:val="en-GB"/>
        </w:rPr>
        <w:t xml:space="preserve"> </w:t>
      </w:r>
      <w:r w:rsidR="003D7475" w:rsidRPr="00531F9E">
        <w:rPr>
          <w:rFonts w:ascii="Tahoma" w:hAnsi="Tahoma" w:cs="Tahoma"/>
          <w:sz w:val="24"/>
          <w:szCs w:val="24"/>
          <w:lang w:val="en-GB"/>
        </w:rPr>
        <w:t>31.410.086,00</w:t>
      </w:r>
      <w:r w:rsidR="00C86C2D" w:rsidRPr="00531F9E">
        <w:rPr>
          <w:rFonts w:ascii="Tahoma" w:hAnsi="Tahoma" w:cs="Tahoma"/>
          <w:sz w:val="24"/>
          <w:szCs w:val="24"/>
          <w:lang w:val="en-GB"/>
        </w:rPr>
        <w:t xml:space="preserve"> </w:t>
      </w:r>
      <w:r w:rsidR="00E539D0" w:rsidRPr="00531F9E">
        <w:rPr>
          <w:rFonts w:ascii="Tahoma" w:hAnsi="Tahoma" w:cs="Tahoma"/>
          <w:sz w:val="24"/>
          <w:szCs w:val="24"/>
          <w:lang w:val="en-GB"/>
        </w:rPr>
        <w:t>€</w:t>
      </w:r>
      <w:r w:rsidR="003D7475" w:rsidRPr="00531F9E">
        <w:rPr>
          <w:rFonts w:ascii="Tahoma" w:hAnsi="Tahoma" w:cs="Tahoma"/>
          <w:sz w:val="24"/>
          <w:szCs w:val="24"/>
          <w:lang w:val="en-GB"/>
        </w:rPr>
        <w:t xml:space="preserve"> </w:t>
      </w:r>
    </w:p>
    <w:p w14:paraId="697BBD09" w14:textId="77777777" w:rsidR="00C57126" w:rsidRPr="00262C08" w:rsidRDefault="00C57126" w:rsidP="00C57126">
      <w:pPr>
        <w:pStyle w:val="Default"/>
        <w:spacing w:line="360" w:lineRule="auto"/>
        <w:jc w:val="both"/>
        <w:rPr>
          <w:rFonts w:ascii="Tahoma" w:hAnsi="Tahoma" w:cs="Tahoma"/>
          <w:sz w:val="24"/>
          <w:szCs w:val="24"/>
          <w:lang w:val="pt-PT"/>
        </w:rPr>
      </w:pPr>
      <w:bookmarkStart w:id="0" w:name="_Hlk41312511"/>
      <w:r w:rsidRPr="00262C08">
        <w:rPr>
          <w:rFonts w:ascii="Tahoma" w:hAnsi="Tahoma" w:cs="Tahoma"/>
          <w:b/>
          <w:sz w:val="24"/>
          <w:szCs w:val="24"/>
          <w:lang w:val="pt-PT"/>
        </w:rPr>
        <w:t>Associação Porto Digital:</w:t>
      </w:r>
      <w:r w:rsidRPr="00262C08">
        <w:rPr>
          <w:rFonts w:ascii="Tahoma" w:hAnsi="Tahoma" w:cs="Tahoma"/>
          <w:sz w:val="24"/>
          <w:szCs w:val="24"/>
          <w:lang w:val="pt-PT"/>
        </w:rPr>
        <w:t xml:space="preserve"> 763.350.00 €</w:t>
      </w:r>
    </w:p>
    <w:p w14:paraId="2C882997" w14:textId="49FA7969" w:rsidR="00C86C2D" w:rsidRPr="009C29B5" w:rsidRDefault="001F0C7A" w:rsidP="007B2C0F">
      <w:pPr>
        <w:pStyle w:val="Default"/>
        <w:spacing w:line="360" w:lineRule="auto"/>
        <w:jc w:val="both"/>
        <w:rPr>
          <w:rFonts w:ascii="Tahoma" w:hAnsi="Tahoma" w:cs="Tahoma"/>
          <w:sz w:val="24"/>
          <w:szCs w:val="24"/>
          <w:lang w:val="pt-PT"/>
        </w:rPr>
      </w:pPr>
      <w:proofErr w:type="spellStart"/>
      <w:r w:rsidRPr="009C29B5">
        <w:rPr>
          <w:rFonts w:ascii="Tahoma" w:hAnsi="Tahoma" w:cs="Tahoma"/>
          <w:b/>
          <w:sz w:val="24"/>
          <w:szCs w:val="24"/>
          <w:lang w:val="pt-PT"/>
        </w:rPr>
        <w:t>Maximum</w:t>
      </w:r>
      <w:proofErr w:type="spellEnd"/>
      <w:r w:rsidRPr="009C29B5">
        <w:rPr>
          <w:rFonts w:ascii="Tahoma" w:hAnsi="Tahoma" w:cs="Tahoma"/>
          <w:b/>
          <w:sz w:val="24"/>
          <w:szCs w:val="24"/>
          <w:lang w:val="pt-PT"/>
        </w:rPr>
        <w:t xml:space="preserve"> </w:t>
      </w:r>
      <w:proofErr w:type="spellStart"/>
      <w:r w:rsidRPr="009C29B5">
        <w:rPr>
          <w:rFonts w:ascii="Tahoma" w:hAnsi="Tahoma" w:cs="Tahoma"/>
          <w:b/>
          <w:sz w:val="24"/>
          <w:szCs w:val="24"/>
          <w:lang w:val="pt-PT"/>
        </w:rPr>
        <w:t>Reimbursement</w:t>
      </w:r>
      <w:bookmarkEnd w:id="0"/>
      <w:proofErr w:type="spellEnd"/>
      <w:r w:rsidR="003D7475" w:rsidRPr="009C29B5">
        <w:rPr>
          <w:rFonts w:ascii="Tahoma" w:hAnsi="Tahoma" w:cs="Tahoma"/>
          <w:b/>
          <w:sz w:val="24"/>
          <w:szCs w:val="24"/>
          <w:lang w:val="pt-PT"/>
        </w:rPr>
        <w:t>:</w:t>
      </w:r>
      <w:r w:rsidR="00E539D0" w:rsidRPr="009C29B5">
        <w:rPr>
          <w:rFonts w:ascii="Tahoma" w:hAnsi="Tahoma" w:cs="Tahoma"/>
          <w:b/>
          <w:sz w:val="24"/>
          <w:szCs w:val="24"/>
          <w:lang w:val="pt-PT"/>
        </w:rPr>
        <w:t xml:space="preserve"> </w:t>
      </w:r>
      <w:r w:rsidR="00FE4896" w:rsidRPr="009C29B5">
        <w:rPr>
          <w:rFonts w:ascii="Tahoma" w:hAnsi="Tahoma" w:cs="Tahoma"/>
          <w:sz w:val="24"/>
          <w:szCs w:val="24"/>
          <w:lang w:val="pt-PT"/>
        </w:rPr>
        <w:t>15.705.043,00</w:t>
      </w:r>
      <w:r w:rsidR="00C86C2D" w:rsidRPr="009C29B5">
        <w:rPr>
          <w:rFonts w:ascii="Tahoma" w:hAnsi="Tahoma" w:cs="Tahoma"/>
          <w:sz w:val="24"/>
          <w:szCs w:val="24"/>
          <w:lang w:val="pt-PT"/>
        </w:rPr>
        <w:t xml:space="preserve"> </w:t>
      </w:r>
      <w:r w:rsidR="00FE4896" w:rsidRPr="009C29B5">
        <w:rPr>
          <w:rFonts w:ascii="Tahoma" w:hAnsi="Tahoma" w:cs="Tahoma"/>
          <w:sz w:val="24"/>
          <w:szCs w:val="24"/>
          <w:lang w:val="pt-PT"/>
        </w:rPr>
        <w:t>€</w:t>
      </w:r>
      <w:r w:rsidR="007B2C0F" w:rsidRPr="009C29B5">
        <w:rPr>
          <w:rFonts w:ascii="Tahoma" w:hAnsi="Tahoma" w:cs="Tahoma"/>
          <w:sz w:val="24"/>
          <w:szCs w:val="24"/>
          <w:lang w:val="pt-PT"/>
        </w:rPr>
        <w:t xml:space="preserve"> </w:t>
      </w:r>
    </w:p>
    <w:p w14:paraId="4A356D65" w14:textId="77777777" w:rsidR="009C29B5" w:rsidRPr="00262C08" w:rsidRDefault="009C29B5" w:rsidP="009C29B5">
      <w:pPr>
        <w:pStyle w:val="Default"/>
        <w:spacing w:line="360" w:lineRule="auto"/>
        <w:jc w:val="both"/>
        <w:rPr>
          <w:rFonts w:ascii="Tahoma" w:hAnsi="Tahoma" w:cs="Tahoma"/>
          <w:sz w:val="24"/>
          <w:szCs w:val="24"/>
          <w:lang w:val="pt-PT"/>
        </w:rPr>
      </w:pPr>
      <w:r w:rsidRPr="00262C08">
        <w:rPr>
          <w:rFonts w:ascii="Tahoma" w:hAnsi="Tahoma" w:cs="Tahoma"/>
          <w:b/>
          <w:sz w:val="24"/>
          <w:szCs w:val="24"/>
          <w:lang w:val="pt-PT"/>
        </w:rPr>
        <w:t>Associação Porto Digital:</w:t>
      </w:r>
      <w:r w:rsidRPr="00262C08">
        <w:rPr>
          <w:rFonts w:ascii="Tahoma" w:hAnsi="Tahoma" w:cs="Tahoma"/>
          <w:sz w:val="24"/>
          <w:szCs w:val="24"/>
          <w:lang w:val="pt-PT"/>
        </w:rPr>
        <w:t xml:space="preserve"> </w:t>
      </w:r>
      <w:r>
        <w:rPr>
          <w:rFonts w:ascii="Tahoma" w:hAnsi="Tahoma" w:cs="Tahoma"/>
          <w:sz w:val="24"/>
          <w:szCs w:val="24"/>
          <w:lang w:val="pt-PT"/>
        </w:rPr>
        <w:t>381</w:t>
      </w:r>
      <w:r w:rsidRPr="00262C08">
        <w:rPr>
          <w:rFonts w:ascii="Tahoma" w:hAnsi="Tahoma" w:cs="Tahoma"/>
          <w:sz w:val="24"/>
          <w:szCs w:val="24"/>
          <w:lang w:val="pt-PT"/>
        </w:rPr>
        <w:t>.</w:t>
      </w:r>
      <w:r>
        <w:rPr>
          <w:rFonts w:ascii="Tahoma" w:hAnsi="Tahoma" w:cs="Tahoma"/>
          <w:sz w:val="24"/>
          <w:szCs w:val="24"/>
          <w:lang w:val="pt-PT"/>
        </w:rPr>
        <w:t>675</w:t>
      </w:r>
      <w:r w:rsidRPr="00262C08">
        <w:rPr>
          <w:rFonts w:ascii="Tahoma" w:hAnsi="Tahoma" w:cs="Tahoma"/>
          <w:sz w:val="24"/>
          <w:szCs w:val="24"/>
          <w:lang w:val="pt-PT"/>
        </w:rPr>
        <w:t>.00 €</w:t>
      </w:r>
    </w:p>
    <w:p w14:paraId="757C002C" w14:textId="77777777" w:rsidR="00226F44" w:rsidRPr="009C29B5" w:rsidRDefault="00226F44" w:rsidP="00226F44">
      <w:pPr>
        <w:pStyle w:val="Default"/>
        <w:spacing w:line="360" w:lineRule="auto"/>
        <w:jc w:val="both"/>
        <w:rPr>
          <w:rFonts w:ascii="Tahoma" w:hAnsi="Tahoma" w:cs="Tahoma"/>
          <w:sz w:val="24"/>
          <w:szCs w:val="24"/>
          <w:lang w:val="pt-PT"/>
        </w:rPr>
      </w:pPr>
    </w:p>
    <w:p w14:paraId="7F97E6C3" w14:textId="7ECB0D20" w:rsidR="00EB2213" w:rsidRPr="00AD3738" w:rsidRDefault="00E76FD1" w:rsidP="00226F44">
      <w:pPr>
        <w:pStyle w:val="Default"/>
        <w:spacing w:line="360" w:lineRule="auto"/>
        <w:jc w:val="both"/>
        <w:rPr>
          <w:rFonts w:ascii="Tahoma" w:hAnsi="Tahoma" w:cs="Tahoma"/>
          <w:b/>
          <w:bCs/>
          <w:color w:val="000000"/>
          <w:lang w:val="pt-PT"/>
        </w:rPr>
      </w:pPr>
      <w:proofErr w:type="spellStart"/>
      <w:r w:rsidRPr="002F6B09">
        <w:rPr>
          <w:rFonts w:ascii="Tahoma" w:hAnsi="Tahoma" w:cs="Tahoma"/>
          <w:b/>
          <w:bCs/>
          <w:i/>
          <w:color w:val="000000"/>
          <w:lang w:val="pt-PT"/>
        </w:rPr>
        <w:t>Implementing</w:t>
      </w:r>
      <w:proofErr w:type="spellEnd"/>
      <w:r w:rsidRPr="002F6B09">
        <w:rPr>
          <w:rFonts w:ascii="Tahoma" w:hAnsi="Tahoma" w:cs="Tahoma"/>
          <w:b/>
          <w:bCs/>
          <w:i/>
          <w:color w:val="000000"/>
          <w:lang w:val="pt-PT"/>
        </w:rPr>
        <w:t xml:space="preserve"> Bodies</w:t>
      </w:r>
      <w:r w:rsidR="007B2C0F" w:rsidRPr="00AD3738">
        <w:rPr>
          <w:rFonts w:ascii="Tahoma" w:hAnsi="Tahoma" w:cs="Tahoma"/>
          <w:b/>
          <w:bCs/>
          <w:color w:val="000000"/>
          <w:lang w:val="pt-PT"/>
        </w:rPr>
        <w:t xml:space="preserve">: </w:t>
      </w:r>
    </w:p>
    <w:p w14:paraId="7F7ACE25" w14:textId="077BEB04"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Área Metropolitana do Porto;</w:t>
      </w:r>
    </w:p>
    <w:p w14:paraId="2543623F" w14:textId="3626E486" w:rsidR="003D7475" w:rsidRPr="009C29B5" w:rsidRDefault="00F33CD9" w:rsidP="003D7475">
      <w:pPr>
        <w:pStyle w:val="Default"/>
        <w:spacing w:line="360" w:lineRule="auto"/>
        <w:jc w:val="both"/>
        <w:rPr>
          <w:rFonts w:ascii="Tahoma" w:hAnsi="Tahoma" w:cs="Tahoma"/>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Associação Porto Digital.</w:t>
      </w:r>
    </w:p>
    <w:p w14:paraId="31E72BF4" w14:textId="2B1C93DA" w:rsidR="001624DE" w:rsidRDefault="00F33CD9" w:rsidP="00F33CD9">
      <w:pPr>
        <w:pStyle w:val="Default"/>
        <w:spacing w:line="360" w:lineRule="auto"/>
        <w:ind w:left="227" w:hanging="227"/>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Associação TRANSPORLIS - Associação para a Exploração e Gestão dos Serviços de Informação da Viagens Multimodais da Área Metropolitana de Lisboa;</w:t>
      </w:r>
    </w:p>
    <w:p w14:paraId="1DCAFF38" w14:textId="5FD42850" w:rsidR="001624DE" w:rsidRPr="003D7475" w:rsidRDefault="00F33CD9" w:rsidP="001624DE">
      <w:pPr>
        <w:pStyle w:val="Default"/>
        <w:spacing w:line="360" w:lineRule="auto"/>
        <w:jc w:val="both"/>
        <w:rPr>
          <w:rFonts w:ascii="Tahoma" w:hAnsi="Tahoma" w:cs="Tahoma"/>
          <w:color w:val="000000"/>
          <w:sz w:val="24"/>
          <w:szCs w:val="24"/>
          <w:lang w:val="pt-PT"/>
        </w:rPr>
      </w:pPr>
      <w:r>
        <w:rPr>
          <w:rFonts w:ascii="Tahoma" w:hAnsi="Tahoma" w:cs="Tahoma"/>
          <w:color w:val="000000"/>
          <w:sz w:val="24"/>
          <w:szCs w:val="24"/>
          <w:lang w:val="pt-PT"/>
        </w:rPr>
        <w:t xml:space="preserve">– </w:t>
      </w:r>
      <w:r w:rsidR="001624DE" w:rsidRPr="001624DE">
        <w:rPr>
          <w:rFonts w:ascii="Tahoma" w:hAnsi="Tahoma" w:cs="Tahoma"/>
          <w:color w:val="000000"/>
          <w:sz w:val="24"/>
          <w:szCs w:val="24"/>
          <w:lang w:val="pt-PT"/>
        </w:rPr>
        <w:t xml:space="preserve">ARMIS – Sistemas de informação, </w:t>
      </w:r>
      <w:proofErr w:type="spellStart"/>
      <w:r w:rsidR="001624DE" w:rsidRPr="001624DE">
        <w:rPr>
          <w:rFonts w:ascii="Tahoma" w:hAnsi="Tahoma" w:cs="Tahoma"/>
          <w:color w:val="000000"/>
          <w:sz w:val="24"/>
          <w:szCs w:val="24"/>
          <w:lang w:val="pt-PT"/>
        </w:rPr>
        <w:t>Lda</w:t>
      </w:r>
      <w:proofErr w:type="spellEnd"/>
      <w:r w:rsidR="001624DE">
        <w:rPr>
          <w:rFonts w:ascii="Tahoma" w:hAnsi="Tahoma" w:cs="Tahoma"/>
          <w:color w:val="000000"/>
          <w:sz w:val="24"/>
          <w:szCs w:val="24"/>
          <w:lang w:val="pt-PT"/>
        </w:rPr>
        <w:t>;</w:t>
      </w:r>
    </w:p>
    <w:p w14:paraId="5C24376B" w14:textId="31BA0631"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BGI - Brisa Gestão de Infraestruturas;</w:t>
      </w:r>
    </w:p>
    <w:p w14:paraId="746EF755" w14:textId="67CCAF7A"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Brisa Concessão Rodoviária, SA (BCR);</w:t>
      </w:r>
    </w:p>
    <w:p w14:paraId="6013748F" w14:textId="4525B7B7"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Câmara Municipal de Cascais;</w:t>
      </w:r>
    </w:p>
    <w:p w14:paraId="656B7561" w14:textId="15A1E859"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lastRenderedPageBreak/>
        <w:t xml:space="preserve">– </w:t>
      </w:r>
      <w:r w:rsidR="003D7475" w:rsidRPr="003D7475">
        <w:rPr>
          <w:rFonts w:ascii="Tahoma" w:hAnsi="Tahoma" w:cs="Tahoma"/>
          <w:color w:val="000000"/>
          <w:sz w:val="24"/>
          <w:szCs w:val="24"/>
          <w:lang w:val="pt-PT"/>
        </w:rPr>
        <w:t>Câmara Municipal de Gondomar;</w:t>
      </w:r>
    </w:p>
    <w:p w14:paraId="6682E580" w14:textId="3494FF5D"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Câmara Municipal de Lisboa;</w:t>
      </w:r>
    </w:p>
    <w:p w14:paraId="46AB427B" w14:textId="086E32FC"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Câmara Municipal de Loulé;</w:t>
      </w:r>
    </w:p>
    <w:p w14:paraId="33224080" w14:textId="32BE926E"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Câmara Municipal de Matosinhos;</w:t>
      </w:r>
    </w:p>
    <w:p w14:paraId="441143D8" w14:textId="3660EE8E"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Câmara Municipal de Santo Tirso;</w:t>
      </w:r>
    </w:p>
    <w:p w14:paraId="65648B09" w14:textId="4128B2E0"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Câmara Municipal de Valongo;</w:t>
      </w:r>
    </w:p>
    <w:p w14:paraId="5D36C2BE" w14:textId="0EC30D0B"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Câmara Municipal de Vila Nova de Gaia;</w:t>
      </w:r>
    </w:p>
    <w:p w14:paraId="18D9D123" w14:textId="3BA98323"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Câmara Municipal de Viseu;</w:t>
      </w:r>
    </w:p>
    <w:p w14:paraId="7738E495" w14:textId="2D78DFFC"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Câmara Municipal do Porto;</w:t>
      </w:r>
    </w:p>
    <w:p w14:paraId="5CA62329" w14:textId="43C98231"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proofErr w:type="spellStart"/>
      <w:r w:rsidR="003D7475" w:rsidRPr="003D7475">
        <w:rPr>
          <w:rFonts w:ascii="Tahoma" w:hAnsi="Tahoma" w:cs="Tahoma"/>
          <w:color w:val="000000"/>
          <w:sz w:val="24"/>
          <w:szCs w:val="24"/>
          <w:lang w:val="pt-PT"/>
        </w:rPr>
        <w:t>CEiiA</w:t>
      </w:r>
      <w:proofErr w:type="spellEnd"/>
      <w:r w:rsidR="003D7475" w:rsidRPr="003D7475">
        <w:rPr>
          <w:rFonts w:ascii="Tahoma" w:hAnsi="Tahoma" w:cs="Tahoma"/>
          <w:color w:val="000000"/>
          <w:sz w:val="24"/>
          <w:szCs w:val="24"/>
          <w:lang w:val="pt-PT"/>
        </w:rPr>
        <w:t xml:space="preserve"> - Centro de Engenharia e Desenvolvimento;</w:t>
      </w:r>
    </w:p>
    <w:p w14:paraId="6C9FBF9F" w14:textId="02CDC625"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Companhia Carris de Ferro de Lisboa, E.M., S.A.;</w:t>
      </w:r>
    </w:p>
    <w:p w14:paraId="47872DE6" w14:textId="67403544"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EMEL – Empresa Pública Municipal de Estacionamento de Lisboa, E.E.M.;</w:t>
      </w:r>
    </w:p>
    <w:p w14:paraId="27F8A334" w14:textId="5174AB2E"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 xml:space="preserve">GMVIS </w:t>
      </w:r>
      <w:proofErr w:type="spellStart"/>
      <w:r w:rsidR="003D7475" w:rsidRPr="003D7475">
        <w:rPr>
          <w:rFonts w:ascii="Tahoma" w:hAnsi="Tahoma" w:cs="Tahoma"/>
          <w:color w:val="000000"/>
          <w:sz w:val="24"/>
          <w:szCs w:val="24"/>
          <w:lang w:val="pt-PT"/>
        </w:rPr>
        <w:t>Skysoft</w:t>
      </w:r>
      <w:proofErr w:type="spellEnd"/>
      <w:r w:rsidR="003D7475" w:rsidRPr="003D7475">
        <w:rPr>
          <w:rFonts w:ascii="Tahoma" w:hAnsi="Tahoma" w:cs="Tahoma"/>
          <w:color w:val="000000"/>
          <w:sz w:val="24"/>
          <w:szCs w:val="24"/>
          <w:lang w:val="pt-PT"/>
        </w:rPr>
        <w:t>, S.A.;</w:t>
      </w:r>
    </w:p>
    <w:p w14:paraId="0899C2C8" w14:textId="59D0D4A2"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Infraestruturas de Portugal, I.P.;</w:t>
      </w:r>
    </w:p>
    <w:p w14:paraId="0DD231AD" w14:textId="1BD55178"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Instituto da Mobilidade e dos Transportes, I.P. (IMT, I.P.);</w:t>
      </w:r>
    </w:p>
    <w:p w14:paraId="53C8641B" w14:textId="5B6787B9"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ISEL - Instituto Superior de Engenharia de Lisboa;</w:t>
      </w:r>
    </w:p>
    <w:p w14:paraId="503F796C" w14:textId="282AD3B8" w:rsidR="00194B20" w:rsidRPr="003D7475" w:rsidRDefault="00F33CD9" w:rsidP="00194B20">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194B20" w:rsidRPr="003D7475">
        <w:rPr>
          <w:rFonts w:ascii="Tahoma" w:hAnsi="Tahoma" w:cs="Tahoma"/>
          <w:color w:val="000000"/>
          <w:sz w:val="24"/>
          <w:szCs w:val="24"/>
          <w:lang w:val="pt-PT"/>
        </w:rPr>
        <w:t>L</w:t>
      </w:r>
      <w:r w:rsidR="00194B20">
        <w:rPr>
          <w:rFonts w:ascii="Tahoma" w:hAnsi="Tahoma" w:cs="Tahoma"/>
          <w:color w:val="000000"/>
          <w:sz w:val="24"/>
          <w:szCs w:val="24"/>
          <w:lang w:val="pt-PT"/>
        </w:rPr>
        <w:t>oulé Concelho Global, E.M.;</w:t>
      </w:r>
    </w:p>
    <w:p w14:paraId="49B54ABB" w14:textId="703FB1ED"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MIH</w:t>
      </w:r>
    </w:p>
    <w:p w14:paraId="4B00C97D" w14:textId="260FB97B"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Município da Trofa;</w:t>
      </w:r>
    </w:p>
    <w:p w14:paraId="783EAD47" w14:textId="19548058"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Município de Lousada;</w:t>
      </w:r>
    </w:p>
    <w:p w14:paraId="178A7A13" w14:textId="5CDE7680" w:rsidR="003D7475" w:rsidRP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Quadrilátero - Associação de Municípios de Fins Específicos Quadrilátero Urbano;</w:t>
      </w:r>
    </w:p>
    <w:p w14:paraId="3679F95A" w14:textId="5396F9C2" w:rsidR="003D7475" w:rsidRDefault="00F33CD9" w:rsidP="003D7475">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3D7475" w:rsidRPr="003D7475">
        <w:rPr>
          <w:rFonts w:ascii="Tahoma" w:hAnsi="Tahoma" w:cs="Tahoma"/>
          <w:color w:val="000000"/>
          <w:sz w:val="24"/>
          <w:szCs w:val="24"/>
          <w:lang w:val="pt-PT"/>
        </w:rPr>
        <w:t xml:space="preserve">Siemens </w:t>
      </w:r>
      <w:proofErr w:type="spellStart"/>
      <w:r w:rsidR="003D7475" w:rsidRPr="003D7475">
        <w:rPr>
          <w:rFonts w:ascii="Tahoma" w:hAnsi="Tahoma" w:cs="Tahoma"/>
          <w:color w:val="000000"/>
          <w:sz w:val="24"/>
          <w:szCs w:val="24"/>
          <w:lang w:val="pt-PT"/>
        </w:rPr>
        <w:t>Mobility</w:t>
      </w:r>
      <w:proofErr w:type="spellEnd"/>
      <w:r w:rsidR="003D7475" w:rsidRPr="003D7475">
        <w:rPr>
          <w:rFonts w:ascii="Tahoma" w:hAnsi="Tahoma" w:cs="Tahoma"/>
          <w:color w:val="000000"/>
          <w:sz w:val="24"/>
          <w:szCs w:val="24"/>
          <w:lang w:val="pt-PT"/>
        </w:rPr>
        <w:t xml:space="preserve">, Unipessoal </w:t>
      </w:r>
      <w:proofErr w:type="spellStart"/>
      <w:r w:rsidR="003D7475" w:rsidRPr="003D7475">
        <w:rPr>
          <w:rFonts w:ascii="Tahoma" w:hAnsi="Tahoma" w:cs="Tahoma"/>
          <w:color w:val="000000"/>
          <w:sz w:val="24"/>
          <w:szCs w:val="24"/>
          <w:lang w:val="pt-PT"/>
        </w:rPr>
        <w:t>Lda</w:t>
      </w:r>
      <w:proofErr w:type="spellEnd"/>
      <w:r w:rsidR="003D7475" w:rsidRPr="003D7475">
        <w:rPr>
          <w:rFonts w:ascii="Tahoma" w:hAnsi="Tahoma" w:cs="Tahoma"/>
          <w:color w:val="000000"/>
          <w:sz w:val="24"/>
          <w:szCs w:val="24"/>
          <w:lang w:val="pt-PT"/>
        </w:rPr>
        <w:t>;</w:t>
      </w:r>
    </w:p>
    <w:p w14:paraId="540659A9" w14:textId="1664C050" w:rsidR="001624DE" w:rsidRDefault="00F33CD9" w:rsidP="001624DE">
      <w:pPr>
        <w:pStyle w:val="Default"/>
        <w:spacing w:line="360" w:lineRule="auto"/>
        <w:rPr>
          <w:rFonts w:ascii="Tahoma" w:hAnsi="Tahoma" w:cs="Tahoma"/>
          <w:color w:val="000000"/>
          <w:sz w:val="24"/>
          <w:szCs w:val="24"/>
          <w:lang w:val="pt-PT"/>
        </w:rPr>
      </w:pPr>
      <w:r>
        <w:rPr>
          <w:rFonts w:ascii="Tahoma" w:hAnsi="Tahoma" w:cs="Tahoma"/>
          <w:color w:val="000000"/>
          <w:sz w:val="24"/>
          <w:szCs w:val="24"/>
          <w:lang w:val="pt-PT"/>
        </w:rPr>
        <w:t xml:space="preserve">– </w:t>
      </w:r>
      <w:r w:rsidR="001624DE" w:rsidRPr="001624DE">
        <w:rPr>
          <w:rFonts w:ascii="Tahoma" w:hAnsi="Tahoma" w:cs="Tahoma"/>
          <w:color w:val="000000"/>
          <w:sz w:val="24"/>
          <w:szCs w:val="24"/>
          <w:lang w:val="pt-PT"/>
        </w:rPr>
        <w:t>TISPT - Consultores em Transportes, Inovação e Sistemas S.A</w:t>
      </w:r>
      <w:r w:rsidR="001624DE">
        <w:rPr>
          <w:rFonts w:ascii="Tahoma" w:hAnsi="Tahoma" w:cs="Tahoma"/>
          <w:color w:val="000000"/>
          <w:sz w:val="24"/>
          <w:szCs w:val="24"/>
          <w:lang w:val="pt-PT"/>
        </w:rPr>
        <w:t>.</w:t>
      </w:r>
      <w:r w:rsidR="001624DE" w:rsidRPr="003D7475">
        <w:rPr>
          <w:rFonts w:ascii="Tahoma" w:hAnsi="Tahoma" w:cs="Tahoma"/>
          <w:color w:val="000000"/>
          <w:sz w:val="24"/>
          <w:szCs w:val="24"/>
          <w:lang w:val="pt-PT"/>
        </w:rPr>
        <w:t>;</w:t>
      </w:r>
    </w:p>
    <w:p w14:paraId="005FD25B" w14:textId="69E1984F" w:rsidR="003D7475" w:rsidRPr="009C29B5" w:rsidRDefault="00F33CD9" w:rsidP="003D7475">
      <w:pPr>
        <w:pStyle w:val="Default"/>
        <w:spacing w:line="360" w:lineRule="auto"/>
        <w:rPr>
          <w:rFonts w:ascii="Tahoma" w:hAnsi="Tahoma" w:cs="Tahoma"/>
          <w:color w:val="000000"/>
          <w:sz w:val="24"/>
          <w:szCs w:val="24"/>
          <w:lang w:val="en-US"/>
        </w:rPr>
      </w:pPr>
      <w:r w:rsidRPr="009C29B5">
        <w:rPr>
          <w:rFonts w:ascii="Tahoma" w:hAnsi="Tahoma" w:cs="Tahoma"/>
          <w:color w:val="000000"/>
          <w:sz w:val="24"/>
          <w:szCs w:val="24"/>
          <w:lang w:val="en-US"/>
        </w:rPr>
        <w:t xml:space="preserve">– </w:t>
      </w:r>
      <w:r w:rsidR="003D7475" w:rsidRPr="009C29B5">
        <w:rPr>
          <w:rFonts w:ascii="Tahoma" w:hAnsi="Tahoma" w:cs="Tahoma"/>
          <w:color w:val="000000"/>
          <w:sz w:val="24"/>
          <w:szCs w:val="24"/>
          <w:lang w:val="en-US"/>
        </w:rPr>
        <w:t>Via Verde Serviços (VVS</w:t>
      </w:r>
      <w:proofErr w:type="gramStart"/>
      <w:r w:rsidR="003D7475" w:rsidRPr="009C29B5">
        <w:rPr>
          <w:rFonts w:ascii="Tahoma" w:hAnsi="Tahoma" w:cs="Tahoma"/>
          <w:color w:val="000000"/>
          <w:sz w:val="24"/>
          <w:szCs w:val="24"/>
          <w:lang w:val="en-US"/>
        </w:rPr>
        <w:t>);</w:t>
      </w:r>
      <w:proofErr w:type="gramEnd"/>
    </w:p>
    <w:p w14:paraId="4EC4BA1D" w14:textId="0F9B28EF" w:rsidR="007B2C0F" w:rsidRPr="009C29B5" w:rsidRDefault="007B2C0F" w:rsidP="007B2C0F">
      <w:pPr>
        <w:pStyle w:val="Default"/>
        <w:spacing w:line="360" w:lineRule="auto"/>
        <w:jc w:val="both"/>
        <w:rPr>
          <w:rFonts w:ascii="Tahoma" w:hAnsi="Tahoma" w:cs="Tahoma"/>
          <w:sz w:val="24"/>
          <w:szCs w:val="24"/>
          <w:lang w:val="en-US"/>
        </w:rPr>
      </w:pPr>
    </w:p>
    <w:p w14:paraId="4E7E022F" w14:textId="5326A91A" w:rsidR="00226F44" w:rsidRPr="009C29B5" w:rsidRDefault="00226F44" w:rsidP="007B2C0F">
      <w:pPr>
        <w:pStyle w:val="Default"/>
        <w:spacing w:line="360" w:lineRule="auto"/>
        <w:jc w:val="both"/>
        <w:rPr>
          <w:rFonts w:ascii="Tahoma" w:hAnsi="Tahoma" w:cs="Tahoma"/>
          <w:sz w:val="24"/>
          <w:szCs w:val="24"/>
          <w:lang w:val="en-US"/>
        </w:rPr>
      </w:pPr>
    </w:p>
    <w:p w14:paraId="0D323718" w14:textId="5A7855BB" w:rsidR="00226F44" w:rsidRPr="009C29B5" w:rsidRDefault="00226F44" w:rsidP="007B2C0F">
      <w:pPr>
        <w:pStyle w:val="Default"/>
        <w:spacing w:line="360" w:lineRule="auto"/>
        <w:jc w:val="both"/>
        <w:rPr>
          <w:rFonts w:ascii="Tahoma" w:hAnsi="Tahoma" w:cs="Tahoma"/>
          <w:sz w:val="24"/>
          <w:szCs w:val="24"/>
          <w:lang w:val="en-US"/>
        </w:rPr>
      </w:pPr>
    </w:p>
    <w:p w14:paraId="557DC1BF" w14:textId="77777777" w:rsidR="00226F44" w:rsidRDefault="00226F44" w:rsidP="007B2C0F">
      <w:pPr>
        <w:pStyle w:val="Default"/>
        <w:spacing w:line="360" w:lineRule="auto"/>
        <w:jc w:val="both"/>
        <w:rPr>
          <w:rFonts w:ascii="Tahoma" w:hAnsi="Tahoma" w:cs="Tahoma"/>
          <w:sz w:val="24"/>
          <w:szCs w:val="24"/>
          <w:lang w:val="en-US"/>
        </w:rPr>
      </w:pPr>
    </w:p>
    <w:p w14:paraId="1998BEFB" w14:textId="77777777" w:rsidR="008B16F1" w:rsidRDefault="008B16F1" w:rsidP="007B2C0F">
      <w:pPr>
        <w:pStyle w:val="Default"/>
        <w:spacing w:line="360" w:lineRule="auto"/>
        <w:jc w:val="both"/>
        <w:rPr>
          <w:rFonts w:ascii="Tahoma" w:hAnsi="Tahoma" w:cs="Tahoma"/>
          <w:sz w:val="24"/>
          <w:szCs w:val="24"/>
          <w:lang w:val="en-US"/>
        </w:rPr>
      </w:pPr>
    </w:p>
    <w:p w14:paraId="15D0886E" w14:textId="77777777" w:rsidR="008B16F1" w:rsidRPr="009C29B5" w:rsidRDefault="008B16F1" w:rsidP="007B2C0F">
      <w:pPr>
        <w:pStyle w:val="Default"/>
        <w:spacing w:line="360" w:lineRule="auto"/>
        <w:jc w:val="both"/>
        <w:rPr>
          <w:rFonts w:ascii="Tahoma" w:hAnsi="Tahoma" w:cs="Tahoma"/>
          <w:sz w:val="24"/>
          <w:szCs w:val="24"/>
          <w:lang w:val="en-US"/>
        </w:rPr>
      </w:pPr>
    </w:p>
    <w:p w14:paraId="6C24C51F" w14:textId="68700AB6" w:rsidR="00DD6C84" w:rsidRPr="009C29B5" w:rsidRDefault="001F0C7A" w:rsidP="007B2C0F">
      <w:pPr>
        <w:pStyle w:val="Default"/>
        <w:spacing w:line="360" w:lineRule="auto"/>
        <w:jc w:val="both"/>
        <w:rPr>
          <w:rFonts w:ascii="Tahoma" w:hAnsi="Tahoma" w:cs="Tahoma"/>
          <w:b/>
          <w:sz w:val="24"/>
          <w:szCs w:val="24"/>
          <w:lang w:val="en-US"/>
        </w:rPr>
      </w:pPr>
      <w:r w:rsidRPr="009C29B5">
        <w:rPr>
          <w:rFonts w:ascii="Tahoma" w:hAnsi="Tahoma" w:cs="Tahoma"/>
          <w:b/>
          <w:sz w:val="24"/>
          <w:szCs w:val="24"/>
          <w:lang w:val="en-US"/>
        </w:rPr>
        <w:lastRenderedPageBreak/>
        <w:t>Activities, objectives and results</w:t>
      </w:r>
      <w:r w:rsidR="007B2C0F" w:rsidRPr="009C29B5">
        <w:rPr>
          <w:rFonts w:ascii="Tahoma" w:hAnsi="Tahoma" w:cs="Tahoma"/>
          <w:b/>
          <w:sz w:val="24"/>
          <w:szCs w:val="24"/>
          <w:lang w:val="en-US"/>
        </w:rPr>
        <w:t>:</w:t>
      </w:r>
    </w:p>
    <w:p w14:paraId="219BB17D"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t>Cooperative Streets is aimed to pilot and pre-deploy C-ITS services in several urban areas along and feeding TEN-T transport network that will complement the scope of previous C-ITS projects (namely C-Roads), conducting rigorous, transparent, and replicable testing while addressing long term viability, cost-efficiency, governance models, business cases and overall impacts and benefits before moving towards large scale deployment to most urban areas, municipalities and cities in general, addressing multimodality and the urban expansion of C-Roads Portugal (CEF Action 2016-PT-TM-0259-S).</w:t>
      </w:r>
    </w:p>
    <w:p w14:paraId="6CF4DCDA" w14:textId="77777777" w:rsidR="001F0C7A" w:rsidRPr="00531F9E" w:rsidRDefault="001F0C7A" w:rsidP="001F0C7A">
      <w:pPr>
        <w:pStyle w:val="Default"/>
        <w:rPr>
          <w:rFonts w:ascii="Tahoma" w:hAnsi="Tahoma" w:cs="Tahoma"/>
          <w:sz w:val="24"/>
          <w:szCs w:val="24"/>
          <w:lang w:val="en-GB"/>
        </w:rPr>
      </w:pPr>
    </w:p>
    <w:p w14:paraId="08C98C3D"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t xml:space="preserve">Cooperative Streets is aiming at fulfilling the following policy goals in road safety: reducing accidents and incidents; cohesion: bringing to the arena major urban areas along the core network; decarbonisation: promoting public transport use added value for citizens: mobility as a service solutions. </w:t>
      </w:r>
    </w:p>
    <w:p w14:paraId="3715A926" w14:textId="77777777" w:rsidR="001F0C7A" w:rsidRPr="00531F9E" w:rsidRDefault="001F0C7A" w:rsidP="001F0C7A">
      <w:pPr>
        <w:pStyle w:val="Default"/>
        <w:rPr>
          <w:rFonts w:ascii="Tahoma" w:hAnsi="Tahoma" w:cs="Tahoma"/>
          <w:sz w:val="24"/>
          <w:szCs w:val="24"/>
          <w:lang w:val="en-GB"/>
        </w:rPr>
      </w:pPr>
    </w:p>
    <w:p w14:paraId="5506D7FE"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t>Cooperative Streets generic goal of building the digital transport data layer in Portugal establishes the Action's key principles: multimodality, interoperability, data sharing, data re-usage; static data as baseline and progress towards dynamic data; digitalisation of transport network (both physical and digital layer); preparing roads and streets for Day 2 C-ITS services.</w:t>
      </w:r>
    </w:p>
    <w:p w14:paraId="0299062A" w14:textId="77777777" w:rsidR="001F0C7A" w:rsidRPr="00531F9E" w:rsidRDefault="001F0C7A" w:rsidP="001F0C7A">
      <w:pPr>
        <w:pStyle w:val="Default"/>
        <w:rPr>
          <w:rFonts w:ascii="Tahoma" w:hAnsi="Tahoma" w:cs="Tahoma"/>
          <w:sz w:val="24"/>
          <w:szCs w:val="24"/>
          <w:lang w:val="en-GB"/>
        </w:rPr>
      </w:pPr>
    </w:p>
    <w:p w14:paraId="438E3966"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t xml:space="preserve">The evolution of connected mobility towards urban and metropolitan areas will be accompanied by the necessary involvement of the National Access Point (NAP) and its governance structure. The NAP is a key feature for the entire </w:t>
      </w:r>
      <w:proofErr w:type="gramStart"/>
      <w:r w:rsidRPr="00531F9E">
        <w:rPr>
          <w:rFonts w:ascii="Tahoma" w:hAnsi="Tahoma" w:cs="Tahoma"/>
          <w:sz w:val="24"/>
          <w:szCs w:val="24"/>
          <w:lang w:val="en-GB"/>
        </w:rPr>
        <w:t>process, and</w:t>
      </w:r>
      <w:proofErr w:type="gramEnd"/>
      <w:r w:rsidRPr="00531F9E">
        <w:rPr>
          <w:rFonts w:ascii="Tahoma" w:hAnsi="Tahoma" w:cs="Tahoma"/>
          <w:sz w:val="24"/>
          <w:szCs w:val="24"/>
          <w:lang w:val="en-GB"/>
        </w:rPr>
        <w:t xml:space="preserve"> requires development into a central and transversal system that guarantees a data-sharing interoperable, seamless, functional, reliable and permanent communication tool.</w:t>
      </w:r>
    </w:p>
    <w:p w14:paraId="423CC41D" w14:textId="77777777" w:rsidR="001F0C7A" w:rsidRPr="00531F9E" w:rsidRDefault="001F0C7A" w:rsidP="001F0C7A">
      <w:pPr>
        <w:pStyle w:val="Default"/>
        <w:rPr>
          <w:rFonts w:ascii="Tahoma" w:hAnsi="Tahoma" w:cs="Tahoma"/>
          <w:sz w:val="24"/>
          <w:szCs w:val="24"/>
          <w:lang w:val="en-GB"/>
        </w:rPr>
      </w:pPr>
    </w:p>
    <w:p w14:paraId="303C7702"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t>The key objective of the Cooperative Streets project is to establish a pilot case for the evolution of the NAP, developing the necessary architecture, governance model and standards that will allow for integration of the different mobility systems and all the necessary stakeholders. The goals for an extended NAP are therefore common to all the Cooperative Streets pilot cases and represent a bridging activity for this project.</w:t>
      </w:r>
    </w:p>
    <w:p w14:paraId="1AAE65D7" w14:textId="77777777" w:rsidR="001F0C7A" w:rsidRPr="00531F9E" w:rsidRDefault="001F0C7A" w:rsidP="001F0C7A">
      <w:pPr>
        <w:pStyle w:val="Default"/>
        <w:rPr>
          <w:rFonts w:ascii="Tahoma" w:hAnsi="Tahoma" w:cs="Tahoma"/>
          <w:sz w:val="24"/>
          <w:szCs w:val="24"/>
          <w:lang w:val="en-GB"/>
        </w:rPr>
      </w:pPr>
    </w:p>
    <w:p w14:paraId="2F85A1FA"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t xml:space="preserve">To deliver on the overall objective of the Action, there are 5 specific pilots. </w:t>
      </w:r>
    </w:p>
    <w:p w14:paraId="34A3C87E" w14:textId="77777777" w:rsidR="001F0C7A" w:rsidRPr="00531F9E" w:rsidRDefault="001F0C7A" w:rsidP="001F0C7A">
      <w:pPr>
        <w:pStyle w:val="Default"/>
        <w:rPr>
          <w:rFonts w:ascii="Tahoma" w:hAnsi="Tahoma" w:cs="Tahoma"/>
          <w:sz w:val="24"/>
          <w:szCs w:val="24"/>
          <w:lang w:val="en-GB"/>
        </w:rPr>
      </w:pPr>
    </w:p>
    <w:p w14:paraId="0A4F46FE"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t xml:space="preserve">Pilot 1 - "Extended Multimodal National Access Point (NAP)" – the NAP has been initially developed for a road usage perspective, not fully adaptable to a multimodal and interoperable perspective. This pilot aims at testing and developing the better model for a transversal multimodal NAP. </w:t>
      </w:r>
    </w:p>
    <w:p w14:paraId="1E63411D" w14:textId="77777777" w:rsidR="001F0C7A" w:rsidRPr="00531F9E" w:rsidRDefault="001F0C7A" w:rsidP="001F0C7A">
      <w:pPr>
        <w:pStyle w:val="Default"/>
        <w:rPr>
          <w:rFonts w:ascii="Tahoma" w:hAnsi="Tahoma" w:cs="Tahoma"/>
          <w:sz w:val="24"/>
          <w:szCs w:val="24"/>
          <w:lang w:val="en-GB"/>
        </w:rPr>
      </w:pPr>
    </w:p>
    <w:p w14:paraId="60C5A9E9"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t xml:space="preserve">Pilot 2 - "From C-Roads to Cooperative Streets" - represents the connection between roads and the connection to urban nodes, namely urban highways. </w:t>
      </w:r>
    </w:p>
    <w:p w14:paraId="1A142836" w14:textId="77777777" w:rsidR="001F0C7A" w:rsidRPr="00531F9E" w:rsidRDefault="001F0C7A" w:rsidP="001F0C7A">
      <w:pPr>
        <w:pStyle w:val="Default"/>
        <w:rPr>
          <w:rFonts w:ascii="Tahoma" w:hAnsi="Tahoma" w:cs="Tahoma"/>
          <w:sz w:val="24"/>
          <w:szCs w:val="24"/>
          <w:lang w:val="en-GB"/>
        </w:rPr>
      </w:pPr>
    </w:p>
    <w:p w14:paraId="12576DEC"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lastRenderedPageBreak/>
        <w:t xml:space="preserve">Pilot 3 - "Cooperative Streets" - aiming at the expansion of C-ITS from road to street environment, involving activities to test C-ITS for soft mobility, </w:t>
      </w:r>
      <w:proofErr w:type="spellStart"/>
      <w:r w:rsidRPr="00531F9E">
        <w:rPr>
          <w:rFonts w:ascii="Tahoma" w:hAnsi="Tahoma" w:cs="Tahoma"/>
          <w:sz w:val="24"/>
          <w:szCs w:val="24"/>
          <w:lang w:val="en-GB"/>
        </w:rPr>
        <w:t>MaaS</w:t>
      </w:r>
      <w:proofErr w:type="spellEnd"/>
      <w:r w:rsidRPr="00531F9E">
        <w:rPr>
          <w:rFonts w:ascii="Tahoma" w:hAnsi="Tahoma" w:cs="Tahoma"/>
          <w:sz w:val="24"/>
          <w:szCs w:val="24"/>
          <w:lang w:val="en-GB"/>
        </w:rPr>
        <w:t xml:space="preserve"> solutions, parking and traffic management, as well as on demand transport. </w:t>
      </w:r>
    </w:p>
    <w:p w14:paraId="3F20A318" w14:textId="77777777" w:rsidR="001F0C7A" w:rsidRPr="00531F9E" w:rsidRDefault="001F0C7A" w:rsidP="001F0C7A">
      <w:pPr>
        <w:pStyle w:val="Default"/>
        <w:rPr>
          <w:rFonts w:ascii="Tahoma" w:hAnsi="Tahoma" w:cs="Tahoma"/>
          <w:sz w:val="24"/>
          <w:szCs w:val="24"/>
          <w:lang w:val="en-GB"/>
        </w:rPr>
      </w:pPr>
    </w:p>
    <w:p w14:paraId="621D9793"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t>Pilot 4 - "MMTIS" (Multimodal Travel Information Services) - covering the need to define a policy framework for both the public and private sectors that operate with the information value chain, and focusing on testing the specifications to properly monitor the performance of public transport contracts and their information systems – Data sharing Focus.</w:t>
      </w:r>
    </w:p>
    <w:p w14:paraId="244CC3A9" w14:textId="77777777" w:rsidR="001F0C7A" w:rsidRPr="00531F9E" w:rsidRDefault="001F0C7A" w:rsidP="001F0C7A">
      <w:pPr>
        <w:pStyle w:val="Default"/>
        <w:rPr>
          <w:rFonts w:ascii="Tahoma" w:hAnsi="Tahoma" w:cs="Tahoma"/>
          <w:sz w:val="24"/>
          <w:szCs w:val="24"/>
          <w:lang w:val="en-GB"/>
        </w:rPr>
      </w:pPr>
    </w:p>
    <w:p w14:paraId="2FFAFB65"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t>Pilot 5 -"Urban test-bed - Zone to free test technology"- testing the implementation and necessary conditions to deploy these areas that are physical or intangible spaces that gather and replicate the real conditions for the development of demonstration and testing activities of technologies with different maturity states – Knowledge transfer Focus.</w:t>
      </w:r>
    </w:p>
    <w:p w14:paraId="4A8B12BB" w14:textId="77777777" w:rsidR="001F0C7A" w:rsidRPr="00531F9E" w:rsidRDefault="001F0C7A" w:rsidP="001F0C7A">
      <w:pPr>
        <w:pStyle w:val="Default"/>
        <w:rPr>
          <w:rFonts w:ascii="Tahoma" w:hAnsi="Tahoma" w:cs="Tahoma"/>
          <w:sz w:val="24"/>
          <w:szCs w:val="24"/>
          <w:lang w:val="en-GB"/>
        </w:rPr>
      </w:pPr>
    </w:p>
    <w:p w14:paraId="545A5CE2"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t>Together these macro pilot applications correspond to 60 pilot activities which will demonstrate the potential of C-ITS as a service continuity from roads to metropolitan and urban areas benefiting from already established and well-defined standards. The goal will be to build on the pre-existing services and conditions in order to achieve a swift deployment of C-ITS and preparation for connectivity and automation not only across the national core and comprehensive network (already in process with C-Roads Portugal), but also progressing into the two metropolitan areas of Lisbon and Porto and towards other municipalities along the axis between these two cities.</w:t>
      </w:r>
    </w:p>
    <w:p w14:paraId="29AA38D9" w14:textId="77777777" w:rsidR="001F0C7A" w:rsidRPr="00531F9E" w:rsidRDefault="001F0C7A" w:rsidP="001F0C7A">
      <w:pPr>
        <w:pStyle w:val="Default"/>
        <w:rPr>
          <w:rFonts w:ascii="Tahoma" w:hAnsi="Tahoma" w:cs="Tahoma"/>
          <w:sz w:val="24"/>
          <w:szCs w:val="24"/>
          <w:lang w:val="en-GB"/>
        </w:rPr>
      </w:pPr>
    </w:p>
    <w:p w14:paraId="0253A225"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t xml:space="preserve">Through Cooperative Streets, C-ITS services will </w:t>
      </w:r>
      <w:proofErr w:type="gramStart"/>
      <w:r w:rsidRPr="00531F9E">
        <w:rPr>
          <w:rFonts w:ascii="Tahoma" w:hAnsi="Tahoma" w:cs="Tahoma"/>
          <w:sz w:val="24"/>
          <w:szCs w:val="24"/>
          <w:lang w:val="en-GB"/>
        </w:rPr>
        <w:t>implemented</w:t>
      </w:r>
      <w:proofErr w:type="gramEnd"/>
      <w:r w:rsidRPr="00531F9E">
        <w:rPr>
          <w:rFonts w:ascii="Tahoma" w:hAnsi="Tahoma" w:cs="Tahoma"/>
          <w:sz w:val="24"/>
          <w:szCs w:val="24"/>
          <w:lang w:val="en-GB"/>
        </w:rPr>
        <w:t xml:space="preserve"> along 210 km of roads leading to urban nodes, ensuring a continuity of service along the core network and well into Lisboa and Porto municipalities. In total more than 500 RSU will be installed with more than 800 OBU and 800 vehicles in operation by the end of the action. Together with this, 17 cities will display multimodal travel information through the NAP.</w:t>
      </w:r>
    </w:p>
    <w:p w14:paraId="5D801997" w14:textId="77777777" w:rsidR="001F0C7A" w:rsidRPr="00531F9E" w:rsidRDefault="001F0C7A" w:rsidP="001F0C7A">
      <w:pPr>
        <w:pStyle w:val="Default"/>
        <w:rPr>
          <w:rFonts w:ascii="Tahoma" w:hAnsi="Tahoma" w:cs="Tahoma"/>
          <w:sz w:val="24"/>
          <w:szCs w:val="24"/>
          <w:lang w:val="en-GB"/>
        </w:rPr>
      </w:pPr>
    </w:p>
    <w:p w14:paraId="16629FE2" w14:textId="77777777" w:rsidR="001F0C7A" w:rsidRPr="00531F9E" w:rsidRDefault="001F0C7A" w:rsidP="001F0C7A">
      <w:pPr>
        <w:pStyle w:val="Default"/>
        <w:rPr>
          <w:rFonts w:ascii="Tahoma" w:hAnsi="Tahoma" w:cs="Tahoma"/>
          <w:sz w:val="24"/>
          <w:szCs w:val="24"/>
          <w:lang w:val="en-GB"/>
        </w:rPr>
      </w:pPr>
      <w:r w:rsidRPr="00531F9E">
        <w:rPr>
          <w:rFonts w:ascii="Tahoma" w:hAnsi="Tahoma" w:cs="Tahoma"/>
          <w:sz w:val="24"/>
          <w:szCs w:val="24"/>
          <w:lang w:val="en-GB"/>
        </w:rPr>
        <w:t xml:space="preserve">This Action is partially overlapping in time with CEF Action 2016-PT-TM-0259-S (C-Roads Portugal). Consequently, the first due ASR shall include a written description of the rules and mechanisms put in place to ensure that the costs declared under the Action are covered by its scope and that there is no double funding with other EU co-funded Actions. </w:t>
      </w:r>
    </w:p>
    <w:p w14:paraId="286B3381" w14:textId="609C6C67" w:rsidR="007B2C0F" w:rsidRPr="003D2DA2" w:rsidRDefault="001F0C7A" w:rsidP="001F0C7A">
      <w:pPr>
        <w:pStyle w:val="Default"/>
        <w:jc w:val="both"/>
        <w:rPr>
          <w:rFonts w:ascii="Calibri" w:hAnsi="Calibri"/>
          <w:sz w:val="24"/>
          <w:szCs w:val="24"/>
          <w:lang w:val="en-US"/>
        </w:rPr>
      </w:pPr>
      <w:r w:rsidRPr="00531F9E">
        <w:rPr>
          <w:rFonts w:ascii="Tahoma" w:hAnsi="Tahoma" w:cs="Tahoma"/>
          <w:sz w:val="24"/>
          <w:szCs w:val="24"/>
          <w:lang w:val="en-GB"/>
        </w:rPr>
        <w:t xml:space="preserve">As an additional risk mitigation measure, the Beneficiary shall mark all invoices with either C-Roads Portugal or Cooperative Streets stamp </w:t>
      </w:r>
      <w:proofErr w:type="gramStart"/>
      <w:r w:rsidRPr="00531F9E">
        <w:rPr>
          <w:rFonts w:ascii="Tahoma" w:hAnsi="Tahoma" w:cs="Tahoma"/>
          <w:sz w:val="24"/>
          <w:szCs w:val="24"/>
          <w:lang w:val="en-GB"/>
        </w:rPr>
        <w:t>in order to</w:t>
      </w:r>
      <w:proofErr w:type="gramEnd"/>
      <w:r w:rsidRPr="00531F9E">
        <w:rPr>
          <w:rFonts w:ascii="Tahoma" w:hAnsi="Tahoma" w:cs="Tahoma"/>
          <w:sz w:val="24"/>
          <w:szCs w:val="24"/>
          <w:lang w:val="en-GB"/>
        </w:rPr>
        <w:t xml:space="preserve"> be fully transparent during financial statements and to avoid any doubt of potential double funding.</w:t>
      </w:r>
    </w:p>
    <w:p w14:paraId="33A3AAC4" w14:textId="77777777" w:rsidR="007B2C0F" w:rsidRPr="003D2DA2" w:rsidRDefault="007B2C0F" w:rsidP="0000572E">
      <w:pPr>
        <w:pStyle w:val="Default"/>
        <w:rPr>
          <w:lang w:val="en-US"/>
        </w:rPr>
      </w:pPr>
    </w:p>
    <w:sectPr w:rsidR="007B2C0F" w:rsidRPr="003D2DA2" w:rsidSect="00226F44">
      <w:footerReference w:type="even" r:id="rId11"/>
      <w:footerReference w:type="default" r:id="rId12"/>
      <w:headerReference w:type="first" r:id="rId13"/>
      <w:footerReference w:type="first" r:id="rId14"/>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05468" w14:textId="77777777" w:rsidR="00A03568" w:rsidRDefault="00A03568">
      <w:r>
        <w:separator/>
      </w:r>
    </w:p>
  </w:endnote>
  <w:endnote w:type="continuationSeparator" w:id="0">
    <w:p w14:paraId="7EBD775A" w14:textId="77777777" w:rsidR="00A03568" w:rsidRDefault="00A03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CE8F7" w14:textId="77777777" w:rsidR="004B06C5" w:rsidRDefault="004B06C5">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B22652" w14:textId="77777777" w:rsidR="004B06C5" w:rsidRDefault="004B06C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F96A" w14:textId="047A17E9" w:rsidR="004B06C5" w:rsidRDefault="004B06C5">
    <w:pPr>
      <w:pStyle w:val="Rodap"/>
      <w:framePr w:wrap="around" w:vAnchor="text" w:hAnchor="page" w:x="10598" w:y="35"/>
      <w:jc w:val="right"/>
      <w:rPr>
        <w:rStyle w:val="Nmerodepgina"/>
      </w:rPr>
    </w:pPr>
    <w:r>
      <w:rPr>
        <w:rStyle w:val="Nmerodepgina"/>
      </w:rPr>
      <w:fldChar w:fldCharType="begin"/>
    </w:r>
    <w:r>
      <w:rPr>
        <w:rStyle w:val="Nmerodepgina"/>
      </w:rPr>
      <w:instrText xml:space="preserve">PAGE  </w:instrText>
    </w:r>
    <w:r>
      <w:rPr>
        <w:rStyle w:val="Nmerodepgina"/>
      </w:rPr>
      <w:fldChar w:fldCharType="separate"/>
    </w:r>
    <w:r w:rsidR="00615D01">
      <w:rPr>
        <w:rStyle w:val="Nmerodepgina"/>
        <w:noProof/>
      </w:rPr>
      <w:t>2</w:t>
    </w:r>
    <w:r>
      <w:rPr>
        <w:rStyle w:val="Nmerodepgina"/>
      </w:rPr>
      <w:fldChar w:fldCharType="end"/>
    </w:r>
  </w:p>
  <w:p w14:paraId="5153297B" w14:textId="77777777" w:rsidR="004B06C5" w:rsidRDefault="004B06C5" w:rsidP="007B2C0F">
    <w:pPr>
      <w:pStyle w:val="Cabealho"/>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4FC7" w14:textId="77777777" w:rsidR="007B2C0F" w:rsidRDefault="007B2C0F" w:rsidP="007B2C0F">
    <w:pPr>
      <w:pStyle w:val="Rodap"/>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E5C10" w14:textId="77777777" w:rsidR="00A03568" w:rsidRDefault="00A03568">
      <w:r>
        <w:separator/>
      </w:r>
    </w:p>
  </w:footnote>
  <w:footnote w:type="continuationSeparator" w:id="0">
    <w:p w14:paraId="72788648" w14:textId="77777777" w:rsidR="00A03568" w:rsidRDefault="00A03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elha"/>
      <w:tblW w:w="12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gridCol w:w="3182"/>
    </w:tblGrid>
    <w:tr w:rsidR="00880330" w14:paraId="312D6F18" w14:textId="77777777" w:rsidTr="00880330">
      <w:tc>
        <w:tcPr>
          <w:tcW w:w="9639" w:type="dxa"/>
        </w:tcPr>
        <w:p w14:paraId="27EA9193" w14:textId="77777777" w:rsidR="00880330" w:rsidRDefault="00880330" w:rsidP="00C86C2D">
          <w:pPr>
            <w:spacing w:before="120" w:after="120"/>
            <w:ind w:left="113"/>
            <w:jc w:val="center"/>
            <w:rPr>
              <w:b/>
              <w:bCs/>
            </w:rPr>
          </w:pPr>
          <w:r>
            <w:rPr>
              <w:noProof/>
              <w:lang w:val="pt-PT" w:eastAsia="pt-PT"/>
            </w:rPr>
            <w:drawing>
              <wp:anchor distT="0" distB="0" distL="114300" distR="114300" simplePos="0" relativeHeight="251662336" behindDoc="0" locked="0" layoutInCell="1" allowOverlap="1" wp14:anchorId="38E4505B" wp14:editId="73FAF045">
                <wp:simplePos x="0" y="0"/>
                <wp:positionH relativeFrom="column">
                  <wp:posOffset>2288540</wp:posOffset>
                </wp:positionH>
                <wp:positionV relativeFrom="paragraph">
                  <wp:posOffset>19050</wp:posOffset>
                </wp:positionV>
                <wp:extent cx="1609396" cy="93345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339" cy="940957"/>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w:t>
          </w:r>
          <w:r>
            <w:rPr>
              <w:b/>
              <w:bCs/>
            </w:rPr>
            <w:br/>
          </w:r>
        </w:p>
        <w:p w14:paraId="42B2EB99" w14:textId="77777777" w:rsidR="00880330" w:rsidRDefault="00880330" w:rsidP="00C86C2D">
          <w:pPr>
            <w:spacing w:before="120" w:after="120"/>
            <w:ind w:left="-248"/>
            <w:jc w:val="center"/>
            <w:rPr>
              <w:b/>
              <w:bCs/>
            </w:rPr>
          </w:pPr>
        </w:p>
        <w:p w14:paraId="65188585" w14:textId="77777777" w:rsidR="00880330" w:rsidRDefault="00880330" w:rsidP="00C86C2D">
          <w:pPr>
            <w:spacing w:before="120" w:after="120"/>
            <w:ind w:left="113"/>
            <w:jc w:val="center"/>
            <w:rPr>
              <w:b/>
              <w:bCs/>
            </w:rPr>
          </w:pPr>
        </w:p>
        <w:p w14:paraId="724C25F1" w14:textId="77777777" w:rsidR="00880330" w:rsidRDefault="00880330" w:rsidP="00C86C2D">
          <w:pPr>
            <w:spacing w:before="120" w:after="120"/>
            <w:ind w:left="113"/>
            <w:jc w:val="center"/>
            <w:rPr>
              <w:bCs/>
              <w:sz w:val="22"/>
              <w:lang w:eastAsia="en-US"/>
            </w:rPr>
          </w:pPr>
          <w:r>
            <w:rPr>
              <w:b/>
              <w:bCs/>
            </w:rPr>
            <w:t>European Commission</w:t>
          </w:r>
          <w:r>
            <w:rPr>
              <w:b/>
              <w:bCs/>
            </w:rPr>
            <w:br/>
          </w:r>
          <w:r>
            <w:rPr>
              <w:bCs/>
            </w:rPr>
            <w:t>Innovation and Networks Executive Agency (INEA)</w:t>
          </w:r>
        </w:p>
        <w:p w14:paraId="0C4A9713" w14:textId="1B615FE0" w:rsidR="00880330" w:rsidRDefault="00DA52C0" w:rsidP="00880330">
          <w:pPr>
            <w:spacing w:before="120" w:after="120"/>
            <w:ind w:left="-3195"/>
            <w:rPr>
              <w:bCs/>
            </w:rPr>
          </w:pPr>
          <w:r>
            <w:rPr>
              <w:rFonts w:ascii="Calibri" w:hAnsi="Calibri"/>
              <w:b/>
              <w:noProof/>
              <w:szCs w:val="24"/>
              <w:lang w:val="pt-PT" w:eastAsia="pt-PT"/>
            </w:rPr>
            <w:drawing>
              <wp:anchor distT="0" distB="0" distL="114300" distR="114300" simplePos="0" relativeHeight="251661312" behindDoc="0" locked="0" layoutInCell="1" allowOverlap="1" wp14:anchorId="72A642D6" wp14:editId="429928D9">
                <wp:simplePos x="0" y="0"/>
                <wp:positionH relativeFrom="column">
                  <wp:posOffset>-62230</wp:posOffset>
                </wp:positionH>
                <wp:positionV relativeFrom="paragraph">
                  <wp:posOffset>196215</wp:posOffset>
                </wp:positionV>
                <wp:extent cx="5972810" cy="1094740"/>
                <wp:effectExtent l="0" t="0" r="889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_CStreets_CEF_horizonta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972810" cy="1094740"/>
                        </a:xfrm>
                        <a:prstGeom prst="rect">
                          <a:avLst/>
                        </a:prstGeom>
                      </pic:spPr>
                    </pic:pic>
                  </a:graphicData>
                </a:graphic>
                <wp14:sizeRelH relativeFrom="page">
                  <wp14:pctWidth>0</wp14:pctWidth>
                </wp14:sizeRelH>
                <wp14:sizeRelV relativeFrom="page">
                  <wp14:pctHeight>0</wp14:pctHeight>
                </wp14:sizeRelV>
              </wp:anchor>
            </w:drawing>
          </w:r>
        </w:p>
        <w:p w14:paraId="1D89A983" w14:textId="1F6FB437" w:rsidR="00880330" w:rsidRDefault="00880330" w:rsidP="00880330">
          <w:pPr>
            <w:spacing w:before="120" w:after="120"/>
            <w:ind w:left="-390" w:right="1019"/>
            <w:jc w:val="center"/>
            <w:rPr>
              <w:bCs/>
              <w:sz w:val="22"/>
              <w:lang w:eastAsia="en-US"/>
            </w:rPr>
          </w:pPr>
        </w:p>
        <w:p w14:paraId="4538B63F" w14:textId="3EC810FE" w:rsidR="00880330" w:rsidRDefault="00880330" w:rsidP="00C86C2D">
          <w:pPr>
            <w:spacing w:before="120" w:after="120"/>
            <w:ind w:left="113"/>
            <w:jc w:val="center"/>
            <w:rPr>
              <w:bCs/>
            </w:rPr>
          </w:pPr>
        </w:p>
        <w:p w14:paraId="6968D50C" w14:textId="2EAAB29B" w:rsidR="00880330" w:rsidRDefault="00880330" w:rsidP="00D14F0D">
          <w:pPr>
            <w:pStyle w:val="Rodap"/>
            <w:ind w:right="-63"/>
            <w:rPr>
              <w:rFonts w:ascii="Verdana" w:hAnsi="Verdana"/>
              <w:bCs/>
              <w:szCs w:val="24"/>
            </w:rPr>
          </w:pPr>
        </w:p>
      </w:tc>
      <w:tc>
        <w:tcPr>
          <w:tcW w:w="3182" w:type="dxa"/>
        </w:tcPr>
        <w:p w14:paraId="75C211AF" w14:textId="77777777" w:rsidR="00880330" w:rsidRDefault="00880330" w:rsidP="007B2C0F">
          <w:pPr>
            <w:pStyle w:val="Ttulo2"/>
            <w:jc w:val="left"/>
            <w:rPr>
              <w:rFonts w:ascii="Verdana" w:hAnsi="Verdana"/>
              <w:bCs/>
              <w:sz w:val="24"/>
              <w:szCs w:val="24"/>
              <w:lang w:val="en-GB"/>
            </w:rPr>
          </w:pPr>
        </w:p>
      </w:tc>
    </w:tr>
  </w:tbl>
  <w:p w14:paraId="370BC3C3" w14:textId="0466BDF9" w:rsidR="00DD6C84" w:rsidRDefault="00DD6C84" w:rsidP="00DA52C0">
    <w:pPr>
      <w:pStyle w:val="Cabealho"/>
      <w:tabs>
        <w:tab w:val="clear" w:pos="4536"/>
        <w:tab w:val="clear" w:pos="9072"/>
        <w:tab w:val="left" w:pos="465"/>
        <w:tab w:val="left" w:pos="1170"/>
        <w:tab w:val="left" w:pos="1980"/>
        <w:tab w:val="left" w:pos="265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1" w15:restartNumberingAfterBreak="0">
    <w:nsid w:val="09EC54E6"/>
    <w:multiLevelType w:val="hybridMultilevel"/>
    <w:tmpl w:val="88AEFB68"/>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0CB642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B21EB8"/>
    <w:multiLevelType w:val="multilevel"/>
    <w:tmpl w:val="7FB49FC8"/>
    <w:lvl w:ilvl="0">
      <w:start w:val="9"/>
      <w:numFmt w:val="decimal"/>
      <w:lvlText w:val="%1"/>
      <w:lvlJc w:val="left"/>
      <w:pPr>
        <w:tabs>
          <w:tab w:val="num" w:pos="705"/>
        </w:tabs>
        <w:ind w:left="705" w:hanging="7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15:restartNumberingAfterBreak="0">
    <w:nsid w:val="15D07A6E"/>
    <w:multiLevelType w:val="hybridMultilevel"/>
    <w:tmpl w:val="2036094C"/>
    <w:lvl w:ilvl="0" w:tplc="E87A0CD0">
      <w:start w:val="1"/>
      <w:numFmt w:val="lowerLetter"/>
      <w:lvlText w:val="%1."/>
      <w:lvlJc w:val="left"/>
      <w:pPr>
        <w:tabs>
          <w:tab w:val="num" w:pos="3960"/>
        </w:tabs>
        <w:ind w:left="39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1DC41BBF"/>
    <w:multiLevelType w:val="hybridMultilevel"/>
    <w:tmpl w:val="5B36B2A2"/>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2B5D49BE"/>
    <w:multiLevelType w:val="hybridMultilevel"/>
    <w:tmpl w:val="8F78949A"/>
    <w:lvl w:ilvl="0" w:tplc="12B278E6">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D1D7312"/>
    <w:multiLevelType w:val="hybridMultilevel"/>
    <w:tmpl w:val="B5EE1016"/>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334E059A"/>
    <w:multiLevelType w:val="hybridMultilevel"/>
    <w:tmpl w:val="46B26D5C"/>
    <w:lvl w:ilvl="0" w:tplc="12B278E6">
      <w:start w:val="1"/>
      <w:numFmt w:val="lowerLetter"/>
      <w:lvlText w:val="%1."/>
      <w:lvlJc w:val="left"/>
      <w:pPr>
        <w:tabs>
          <w:tab w:val="num" w:pos="1440"/>
        </w:tabs>
        <w:ind w:left="1440" w:hanging="360"/>
      </w:pPr>
      <w:rPr>
        <w:rFonts w:hint="default"/>
      </w:rPr>
    </w:lvl>
    <w:lvl w:ilvl="1" w:tplc="CDA83B2C">
      <w:start w:val="2"/>
      <w:numFmt w:val="decimal"/>
      <w:lvlText w:val="%2."/>
      <w:lvlJc w:val="left"/>
      <w:pPr>
        <w:tabs>
          <w:tab w:val="num" w:pos="1800"/>
        </w:tabs>
        <w:ind w:left="1800" w:hanging="360"/>
      </w:pPr>
      <w:rPr>
        <w:rFonts w:hint="default"/>
      </w:r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9" w15:restartNumberingAfterBreak="0">
    <w:nsid w:val="33F27D93"/>
    <w:multiLevelType w:val="hybridMultilevel"/>
    <w:tmpl w:val="AD121D40"/>
    <w:lvl w:ilvl="0" w:tplc="040C0019">
      <w:start w:val="1"/>
      <w:numFmt w:val="lowerLetter"/>
      <w:lvlText w:val="%1."/>
      <w:lvlJc w:val="left"/>
      <w:pPr>
        <w:tabs>
          <w:tab w:val="num" w:pos="720"/>
        </w:tabs>
        <w:ind w:left="720" w:hanging="360"/>
      </w:pPr>
    </w:lvl>
    <w:lvl w:ilvl="1" w:tplc="6B0C0532">
      <w:start w:val="4"/>
      <w:numFmt w:val="decimal"/>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378361AE"/>
    <w:multiLevelType w:val="hybridMultilevel"/>
    <w:tmpl w:val="430C8A2A"/>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FC77C51"/>
    <w:multiLevelType w:val="hybridMultilevel"/>
    <w:tmpl w:val="0C0CAD6E"/>
    <w:lvl w:ilvl="0" w:tplc="EF1246E0">
      <w:start w:val="1"/>
      <w:numFmt w:val="bullet"/>
      <w:lvlText w:val=""/>
      <w:lvlJc w:val="left"/>
      <w:pPr>
        <w:tabs>
          <w:tab w:val="num" w:pos="720"/>
        </w:tabs>
        <w:ind w:left="720" w:hanging="360"/>
      </w:pPr>
      <w:rPr>
        <w:rFonts w:ascii="Symbol" w:hAnsi="Symbol" w:hint="default"/>
        <w:color w:val="auto"/>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44AF2400"/>
    <w:multiLevelType w:val="hybridMultilevel"/>
    <w:tmpl w:val="8B50DDEE"/>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556833C5"/>
    <w:multiLevelType w:val="hybridMultilevel"/>
    <w:tmpl w:val="A86CC01A"/>
    <w:lvl w:ilvl="0" w:tplc="040E0019">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3840771"/>
    <w:multiLevelType w:val="hybridMultilevel"/>
    <w:tmpl w:val="583EBF8E"/>
    <w:lvl w:ilvl="0" w:tplc="E87A0CD0">
      <w:start w:val="1"/>
      <w:numFmt w:val="lowerLetter"/>
      <w:lvlText w:val="%1."/>
      <w:lvlJc w:val="left"/>
      <w:pPr>
        <w:tabs>
          <w:tab w:val="num" w:pos="3960"/>
        </w:tabs>
        <w:ind w:left="39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BDC1255"/>
    <w:multiLevelType w:val="singleLevel"/>
    <w:tmpl w:val="04070007"/>
    <w:lvl w:ilvl="0">
      <w:start w:val="1"/>
      <w:numFmt w:val="bullet"/>
      <w:lvlText w:val="-"/>
      <w:lvlJc w:val="left"/>
      <w:pPr>
        <w:tabs>
          <w:tab w:val="num" w:pos="360"/>
        </w:tabs>
        <w:ind w:left="360" w:hanging="360"/>
      </w:pPr>
      <w:rPr>
        <w:sz w:val="16"/>
      </w:rPr>
    </w:lvl>
  </w:abstractNum>
  <w:abstractNum w:abstractNumId="16" w15:restartNumberingAfterBreak="0">
    <w:nsid w:val="6C5D0C0D"/>
    <w:multiLevelType w:val="hybridMultilevel"/>
    <w:tmpl w:val="5B7C0C2C"/>
    <w:lvl w:ilvl="0" w:tplc="01DA0D84">
      <w:numFmt w:val="bullet"/>
      <w:lvlText w:val="-"/>
      <w:lvlJc w:val="left"/>
      <w:pPr>
        <w:tabs>
          <w:tab w:val="num" w:pos="720"/>
        </w:tabs>
        <w:ind w:left="720" w:hanging="360"/>
      </w:pPr>
      <w:rPr>
        <w:rFonts w:ascii="Times New Roman" w:eastAsia="Times New Roman" w:hAnsi="Times New Roman" w:hint="default"/>
      </w:rPr>
    </w:lvl>
    <w:lvl w:ilvl="1" w:tplc="436E9234">
      <w:start w:val="2"/>
      <w:numFmt w:val="decimal"/>
      <w:lvlText w:val="%2."/>
      <w:lvlJc w:val="left"/>
      <w:pPr>
        <w:tabs>
          <w:tab w:val="num" w:pos="1440"/>
        </w:tabs>
        <w:ind w:left="1440" w:hanging="360"/>
      </w:pPr>
      <w:rPr>
        <w:rFonts w:hint="default"/>
      </w:rPr>
    </w:lvl>
    <w:lvl w:ilvl="2" w:tplc="00050410">
      <w:start w:val="1"/>
      <w:numFmt w:val="bullet"/>
      <w:lvlText w:val=""/>
      <w:lvlJc w:val="left"/>
      <w:pPr>
        <w:tabs>
          <w:tab w:val="num" w:pos="2160"/>
        </w:tabs>
        <w:ind w:left="2160" w:hanging="360"/>
      </w:pPr>
      <w:rPr>
        <w:rFonts w:ascii="Wingdings" w:hAnsi="Wingdings" w:cs="Times New Roman" w:hint="default"/>
      </w:rPr>
    </w:lvl>
    <w:lvl w:ilvl="3" w:tplc="00010410">
      <w:start w:val="1"/>
      <w:numFmt w:val="bullet"/>
      <w:lvlText w:val=""/>
      <w:lvlJc w:val="left"/>
      <w:pPr>
        <w:tabs>
          <w:tab w:val="num" w:pos="2880"/>
        </w:tabs>
        <w:ind w:left="2880" w:hanging="360"/>
      </w:pPr>
      <w:rPr>
        <w:rFonts w:ascii="Symbol" w:eastAsia="Times New Roman" w:hAnsi="Symbol" w:cs="Times New Roman" w:hint="default"/>
      </w:rPr>
    </w:lvl>
    <w:lvl w:ilvl="4" w:tplc="00030410">
      <w:start w:val="1"/>
      <w:numFmt w:val="bullet"/>
      <w:lvlText w:val="o"/>
      <w:lvlJc w:val="left"/>
      <w:pPr>
        <w:tabs>
          <w:tab w:val="num" w:pos="3600"/>
        </w:tabs>
        <w:ind w:left="3600" w:hanging="360"/>
      </w:pPr>
      <w:rPr>
        <w:rFonts w:ascii="Courier New" w:hAnsi="Courier New" w:cs="Courier New" w:hint="default"/>
      </w:rPr>
    </w:lvl>
    <w:lvl w:ilvl="5" w:tplc="00050410">
      <w:start w:val="1"/>
      <w:numFmt w:val="bullet"/>
      <w:lvlText w:val=""/>
      <w:lvlJc w:val="left"/>
      <w:pPr>
        <w:tabs>
          <w:tab w:val="num" w:pos="4320"/>
        </w:tabs>
        <w:ind w:left="4320" w:hanging="360"/>
      </w:pPr>
      <w:rPr>
        <w:rFonts w:ascii="Wingdings" w:hAnsi="Wingdings" w:cs="Times New Roman" w:hint="default"/>
      </w:rPr>
    </w:lvl>
    <w:lvl w:ilvl="6" w:tplc="00010410">
      <w:start w:val="1"/>
      <w:numFmt w:val="bullet"/>
      <w:lvlText w:val=""/>
      <w:lvlJc w:val="left"/>
      <w:pPr>
        <w:tabs>
          <w:tab w:val="num" w:pos="5040"/>
        </w:tabs>
        <w:ind w:left="5040" w:hanging="360"/>
      </w:pPr>
      <w:rPr>
        <w:rFonts w:ascii="Symbol" w:eastAsia="Times New Roman" w:hAnsi="Symbol" w:cs="Times New Roman" w:hint="default"/>
      </w:rPr>
    </w:lvl>
    <w:lvl w:ilvl="7" w:tplc="00030410">
      <w:start w:val="1"/>
      <w:numFmt w:val="bullet"/>
      <w:lvlText w:val="o"/>
      <w:lvlJc w:val="left"/>
      <w:pPr>
        <w:tabs>
          <w:tab w:val="num" w:pos="5760"/>
        </w:tabs>
        <w:ind w:left="5760" w:hanging="360"/>
      </w:pPr>
      <w:rPr>
        <w:rFonts w:ascii="Courier New" w:hAnsi="Courier New" w:cs="Courier New" w:hint="default"/>
      </w:rPr>
    </w:lvl>
    <w:lvl w:ilvl="8" w:tplc="00050410">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70B34226"/>
    <w:multiLevelType w:val="multilevel"/>
    <w:tmpl w:val="C012266A"/>
    <w:lvl w:ilvl="0">
      <w:start w:val="4"/>
      <w:numFmt w:val="decimal"/>
      <w:lvlText w:val="%1"/>
      <w:lvlJc w:val="left"/>
      <w:pPr>
        <w:tabs>
          <w:tab w:val="num" w:pos="600"/>
        </w:tabs>
        <w:ind w:left="600" w:hanging="60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440"/>
        </w:tabs>
        <w:ind w:left="1440" w:hanging="1440"/>
      </w:pPr>
      <w:rPr>
        <w:rFonts w:cs="Arial" w:hint="default"/>
      </w:rPr>
    </w:lvl>
    <w:lvl w:ilvl="5">
      <w:start w:val="1"/>
      <w:numFmt w:val="decimal"/>
      <w:lvlText w:val="%1.%2.%3.%4.%5.%6"/>
      <w:lvlJc w:val="left"/>
      <w:pPr>
        <w:tabs>
          <w:tab w:val="num" w:pos="1800"/>
        </w:tabs>
        <w:ind w:left="1800" w:hanging="180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2160"/>
        </w:tabs>
        <w:ind w:left="2160" w:hanging="2160"/>
      </w:pPr>
      <w:rPr>
        <w:rFonts w:cs="Arial" w:hint="default"/>
      </w:rPr>
    </w:lvl>
    <w:lvl w:ilvl="8">
      <w:start w:val="1"/>
      <w:numFmt w:val="decimal"/>
      <w:lvlText w:val="%1.%2.%3.%4.%5.%6.%7.%8.%9"/>
      <w:lvlJc w:val="left"/>
      <w:pPr>
        <w:tabs>
          <w:tab w:val="num" w:pos="2520"/>
        </w:tabs>
        <w:ind w:left="2520" w:hanging="2520"/>
      </w:pPr>
      <w:rPr>
        <w:rFonts w:cs="Arial" w:hint="default"/>
      </w:rPr>
    </w:lvl>
  </w:abstractNum>
  <w:abstractNum w:abstractNumId="18" w15:restartNumberingAfterBreak="0">
    <w:nsid w:val="7A682B65"/>
    <w:multiLevelType w:val="hybridMultilevel"/>
    <w:tmpl w:val="FD042A6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AC7267"/>
    <w:multiLevelType w:val="hybridMultilevel"/>
    <w:tmpl w:val="68AE6376"/>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C4370D5"/>
    <w:multiLevelType w:val="hybridMultilevel"/>
    <w:tmpl w:val="15362F8C"/>
    <w:lvl w:ilvl="0" w:tplc="7354F87C">
      <w:start w:val="1"/>
      <w:numFmt w:val="bullet"/>
      <w:lvlText w:val="□"/>
      <w:lvlJc w:val="left"/>
      <w:pPr>
        <w:tabs>
          <w:tab w:val="num" w:pos="1494"/>
        </w:tabs>
        <w:ind w:left="1494" w:hanging="360"/>
      </w:pPr>
      <w:rPr>
        <w:rFonts w:ascii="Book Antiqua" w:hAnsi="Book Antiqua" w:hint="default"/>
        <w:b/>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7A06E1"/>
    <w:multiLevelType w:val="hybridMultilevel"/>
    <w:tmpl w:val="2D5C6F34"/>
    <w:lvl w:ilvl="0" w:tplc="00000002">
      <w:start w:val="1"/>
      <w:numFmt w:val="lowerLetter"/>
      <w:lvlText w:val="%1."/>
      <w:lvlJc w:val="left"/>
      <w:pPr>
        <w:tabs>
          <w:tab w:val="num" w:pos="720"/>
        </w:tabs>
        <w:ind w:left="720" w:hanging="360"/>
      </w:pPr>
    </w:lvl>
    <w:lvl w:ilvl="1" w:tplc="6B0C0532">
      <w:start w:val="4"/>
      <w:numFmt w:val="decimal"/>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7F41222D"/>
    <w:multiLevelType w:val="hybridMultilevel"/>
    <w:tmpl w:val="7BE8F87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2106417743">
    <w:abstractNumId w:val="22"/>
  </w:num>
  <w:num w:numId="2" w16cid:durableId="1487474033">
    <w:abstractNumId w:val="15"/>
  </w:num>
  <w:num w:numId="3" w16cid:durableId="2145659947">
    <w:abstractNumId w:val="20"/>
  </w:num>
  <w:num w:numId="4" w16cid:durableId="614216233">
    <w:abstractNumId w:val="16"/>
  </w:num>
  <w:num w:numId="5" w16cid:durableId="1773167262">
    <w:abstractNumId w:val="2"/>
  </w:num>
  <w:num w:numId="6" w16cid:durableId="752777663">
    <w:abstractNumId w:val="19"/>
  </w:num>
  <w:num w:numId="7" w16cid:durableId="1986158309">
    <w:abstractNumId w:val="18"/>
  </w:num>
  <w:num w:numId="8" w16cid:durableId="319231480">
    <w:abstractNumId w:val="8"/>
  </w:num>
  <w:num w:numId="9" w16cid:durableId="872420724">
    <w:abstractNumId w:val="9"/>
  </w:num>
  <w:num w:numId="10" w16cid:durableId="808592778">
    <w:abstractNumId w:val="17"/>
  </w:num>
  <w:num w:numId="11" w16cid:durableId="1919751103">
    <w:abstractNumId w:val="11"/>
  </w:num>
  <w:num w:numId="12" w16cid:durableId="478500910">
    <w:abstractNumId w:val="14"/>
  </w:num>
  <w:num w:numId="13" w16cid:durableId="543366260">
    <w:abstractNumId w:val="4"/>
  </w:num>
  <w:num w:numId="14" w16cid:durableId="860053775">
    <w:abstractNumId w:val="5"/>
  </w:num>
  <w:num w:numId="15" w16cid:durableId="553736903">
    <w:abstractNumId w:val="10"/>
  </w:num>
  <w:num w:numId="16" w16cid:durableId="1396858471">
    <w:abstractNumId w:val="1"/>
  </w:num>
  <w:num w:numId="17" w16cid:durableId="1827815550">
    <w:abstractNumId w:val="7"/>
  </w:num>
  <w:num w:numId="18" w16cid:durableId="1383142077">
    <w:abstractNumId w:val="12"/>
  </w:num>
  <w:num w:numId="19" w16cid:durableId="545488181">
    <w:abstractNumId w:val="3"/>
  </w:num>
  <w:num w:numId="20" w16cid:durableId="1875727147">
    <w:abstractNumId w:val="0"/>
  </w:num>
  <w:num w:numId="21" w16cid:durableId="279723270">
    <w:abstractNumId w:val="21"/>
  </w:num>
  <w:num w:numId="22" w16cid:durableId="1066034014">
    <w:abstractNumId w:val="13"/>
  </w:num>
  <w:num w:numId="23" w16cid:durableId="1899240575">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ExNTOzMDA1MTM0NjJX0lEKTi0uzszPAykwrQUA3AWnnCwAAAA="/>
  </w:docVars>
  <w:rsids>
    <w:rsidRoot w:val="00FC0FFC"/>
    <w:rsid w:val="000006E5"/>
    <w:rsid w:val="00000C00"/>
    <w:rsid w:val="0000467A"/>
    <w:rsid w:val="0000572E"/>
    <w:rsid w:val="000073B8"/>
    <w:rsid w:val="00013191"/>
    <w:rsid w:val="00065BAF"/>
    <w:rsid w:val="00073605"/>
    <w:rsid w:val="00091AD9"/>
    <w:rsid w:val="00093274"/>
    <w:rsid w:val="00095F52"/>
    <w:rsid w:val="000A74C3"/>
    <w:rsid w:val="000B40A0"/>
    <w:rsid w:val="000B5448"/>
    <w:rsid w:val="000E6F64"/>
    <w:rsid w:val="000E787B"/>
    <w:rsid w:val="00125475"/>
    <w:rsid w:val="0013164F"/>
    <w:rsid w:val="00137180"/>
    <w:rsid w:val="00137D2F"/>
    <w:rsid w:val="0014080E"/>
    <w:rsid w:val="00140CA5"/>
    <w:rsid w:val="00140D90"/>
    <w:rsid w:val="00141359"/>
    <w:rsid w:val="00145B63"/>
    <w:rsid w:val="001528A1"/>
    <w:rsid w:val="0016240E"/>
    <w:rsid w:val="001624DE"/>
    <w:rsid w:val="00190349"/>
    <w:rsid w:val="00194B20"/>
    <w:rsid w:val="001A13A4"/>
    <w:rsid w:val="001B640D"/>
    <w:rsid w:val="001C3340"/>
    <w:rsid w:val="001F0C7A"/>
    <w:rsid w:val="001F6B10"/>
    <w:rsid w:val="002039F3"/>
    <w:rsid w:val="00204E1A"/>
    <w:rsid w:val="00225F14"/>
    <w:rsid w:val="00226F44"/>
    <w:rsid w:val="00227417"/>
    <w:rsid w:val="0023370C"/>
    <w:rsid w:val="002540D9"/>
    <w:rsid w:val="00271133"/>
    <w:rsid w:val="00274FC0"/>
    <w:rsid w:val="00282437"/>
    <w:rsid w:val="002867DD"/>
    <w:rsid w:val="002B2A00"/>
    <w:rsid w:val="002B33CB"/>
    <w:rsid w:val="002E4575"/>
    <w:rsid w:val="002F6B09"/>
    <w:rsid w:val="00300006"/>
    <w:rsid w:val="003022BE"/>
    <w:rsid w:val="003157C4"/>
    <w:rsid w:val="00333AA4"/>
    <w:rsid w:val="0033742B"/>
    <w:rsid w:val="00345878"/>
    <w:rsid w:val="00350E00"/>
    <w:rsid w:val="003A2815"/>
    <w:rsid w:val="003D2DA2"/>
    <w:rsid w:val="003D5BAC"/>
    <w:rsid w:val="003D7475"/>
    <w:rsid w:val="003E7E35"/>
    <w:rsid w:val="003F116B"/>
    <w:rsid w:val="003F26E3"/>
    <w:rsid w:val="00402EB0"/>
    <w:rsid w:val="004157C5"/>
    <w:rsid w:val="00436FB8"/>
    <w:rsid w:val="00440979"/>
    <w:rsid w:val="0046169E"/>
    <w:rsid w:val="004654FC"/>
    <w:rsid w:val="00482E70"/>
    <w:rsid w:val="004833E3"/>
    <w:rsid w:val="00485CBA"/>
    <w:rsid w:val="004B06C5"/>
    <w:rsid w:val="005127B5"/>
    <w:rsid w:val="0052070E"/>
    <w:rsid w:val="00522B84"/>
    <w:rsid w:val="00526BD4"/>
    <w:rsid w:val="00531F9E"/>
    <w:rsid w:val="00561023"/>
    <w:rsid w:val="005850C1"/>
    <w:rsid w:val="00586992"/>
    <w:rsid w:val="005930D8"/>
    <w:rsid w:val="005A2087"/>
    <w:rsid w:val="005A7A56"/>
    <w:rsid w:val="005C7086"/>
    <w:rsid w:val="005E10D2"/>
    <w:rsid w:val="005E659D"/>
    <w:rsid w:val="00613B0E"/>
    <w:rsid w:val="00615D01"/>
    <w:rsid w:val="00633E4F"/>
    <w:rsid w:val="006376E9"/>
    <w:rsid w:val="00641284"/>
    <w:rsid w:val="00653EAB"/>
    <w:rsid w:val="00665FF6"/>
    <w:rsid w:val="006773DD"/>
    <w:rsid w:val="006D46AB"/>
    <w:rsid w:val="00725EF6"/>
    <w:rsid w:val="00737483"/>
    <w:rsid w:val="007468EC"/>
    <w:rsid w:val="007506CB"/>
    <w:rsid w:val="00753FB4"/>
    <w:rsid w:val="00775D17"/>
    <w:rsid w:val="007773D4"/>
    <w:rsid w:val="0078561D"/>
    <w:rsid w:val="00792A36"/>
    <w:rsid w:val="00795753"/>
    <w:rsid w:val="007A5AD5"/>
    <w:rsid w:val="007B2C0F"/>
    <w:rsid w:val="007C73A9"/>
    <w:rsid w:val="008221B9"/>
    <w:rsid w:val="00830C84"/>
    <w:rsid w:val="0083172B"/>
    <w:rsid w:val="00837589"/>
    <w:rsid w:val="00841EE5"/>
    <w:rsid w:val="00847A67"/>
    <w:rsid w:val="00850A59"/>
    <w:rsid w:val="00855388"/>
    <w:rsid w:val="008764FB"/>
    <w:rsid w:val="008771CE"/>
    <w:rsid w:val="00880330"/>
    <w:rsid w:val="00887210"/>
    <w:rsid w:val="008B16F1"/>
    <w:rsid w:val="008B298C"/>
    <w:rsid w:val="008C4280"/>
    <w:rsid w:val="008F1103"/>
    <w:rsid w:val="008F4A6F"/>
    <w:rsid w:val="009031AD"/>
    <w:rsid w:val="0090662B"/>
    <w:rsid w:val="009144CF"/>
    <w:rsid w:val="00937B4E"/>
    <w:rsid w:val="00941E0F"/>
    <w:rsid w:val="00955222"/>
    <w:rsid w:val="009764DA"/>
    <w:rsid w:val="00980889"/>
    <w:rsid w:val="00981B67"/>
    <w:rsid w:val="00984DDE"/>
    <w:rsid w:val="00987D41"/>
    <w:rsid w:val="009B662B"/>
    <w:rsid w:val="009C29B5"/>
    <w:rsid w:val="009D0041"/>
    <w:rsid w:val="009D103C"/>
    <w:rsid w:val="009D1F04"/>
    <w:rsid w:val="00A02AEE"/>
    <w:rsid w:val="00A03568"/>
    <w:rsid w:val="00A075C4"/>
    <w:rsid w:val="00A46962"/>
    <w:rsid w:val="00A46F04"/>
    <w:rsid w:val="00A544A6"/>
    <w:rsid w:val="00A647A6"/>
    <w:rsid w:val="00A74FF9"/>
    <w:rsid w:val="00A9063C"/>
    <w:rsid w:val="00AA3F10"/>
    <w:rsid w:val="00AB3B2C"/>
    <w:rsid w:val="00AD3738"/>
    <w:rsid w:val="00AD742A"/>
    <w:rsid w:val="00AE0316"/>
    <w:rsid w:val="00B2344B"/>
    <w:rsid w:val="00B374F1"/>
    <w:rsid w:val="00BA6F62"/>
    <w:rsid w:val="00BD4FED"/>
    <w:rsid w:val="00BE1377"/>
    <w:rsid w:val="00BF1221"/>
    <w:rsid w:val="00C05D22"/>
    <w:rsid w:val="00C35ED5"/>
    <w:rsid w:val="00C426F8"/>
    <w:rsid w:val="00C43E69"/>
    <w:rsid w:val="00C57126"/>
    <w:rsid w:val="00C6348A"/>
    <w:rsid w:val="00C83A1D"/>
    <w:rsid w:val="00C846D4"/>
    <w:rsid w:val="00C86C2D"/>
    <w:rsid w:val="00C90CE3"/>
    <w:rsid w:val="00C912D3"/>
    <w:rsid w:val="00C91A06"/>
    <w:rsid w:val="00CD69D0"/>
    <w:rsid w:val="00CD74B7"/>
    <w:rsid w:val="00D14F0D"/>
    <w:rsid w:val="00D200F0"/>
    <w:rsid w:val="00D218E6"/>
    <w:rsid w:val="00D221ED"/>
    <w:rsid w:val="00D26733"/>
    <w:rsid w:val="00D34641"/>
    <w:rsid w:val="00D37788"/>
    <w:rsid w:val="00D74A59"/>
    <w:rsid w:val="00D85D15"/>
    <w:rsid w:val="00D87C91"/>
    <w:rsid w:val="00D90F63"/>
    <w:rsid w:val="00D96775"/>
    <w:rsid w:val="00DA19A7"/>
    <w:rsid w:val="00DA2796"/>
    <w:rsid w:val="00DA52C0"/>
    <w:rsid w:val="00DA5CB8"/>
    <w:rsid w:val="00DA6E6E"/>
    <w:rsid w:val="00DA7C0F"/>
    <w:rsid w:val="00DC1250"/>
    <w:rsid w:val="00DD6C84"/>
    <w:rsid w:val="00E00250"/>
    <w:rsid w:val="00E04400"/>
    <w:rsid w:val="00E0466F"/>
    <w:rsid w:val="00E04E4A"/>
    <w:rsid w:val="00E068E8"/>
    <w:rsid w:val="00E21B8A"/>
    <w:rsid w:val="00E24C9D"/>
    <w:rsid w:val="00E263DC"/>
    <w:rsid w:val="00E41C8B"/>
    <w:rsid w:val="00E539D0"/>
    <w:rsid w:val="00E76FD1"/>
    <w:rsid w:val="00E773DA"/>
    <w:rsid w:val="00E930FC"/>
    <w:rsid w:val="00EB2213"/>
    <w:rsid w:val="00EB48A5"/>
    <w:rsid w:val="00ED0BF2"/>
    <w:rsid w:val="00EE7F15"/>
    <w:rsid w:val="00F33CD9"/>
    <w:rsid w:val="00F47691"/>
    <w:rsid w:val="00F613AF"/>
    <w:rsid w:val="00F8760C"/>
    <w:rsid w:val="00FC0FFC"/>
    <w:rsid w:val="00FE4896"/>
    <w:rsid w:val="00FF3B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67F81"/>
  <w15:docId w15:val="{E1105E0A-0FEA-4FDE-BCA5-B33EEE995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5AD5"/>
    <w:pPr>
      <w:spacing w:before="240"/>
      <w:jc w:val="both"/>
    </w:pPr>
    <w:rPr>
      <w:sz w:val="24"/>
      <w:lang w:val="en-GB" w:eastAsia="de-DE"/>
    </w:rPr>
  </w:style>
  <w:style w:type="paragraph" w:styleId="Ttulo2">
    <w:name w:val="heading 2"/>
    <w:basedOn w:val="Normal"/>
    <w:next w:val="Normal"/>
    <w:qFormat/>
    <w:rsid w:val="007A5AD5"/>
    <w:pPr>
      <w:keepNext/>
      <w:tabs>
        <w:tab w:val="left" w:pos="-1440"/>
        <w:tab w:val="left" w:pos="-720"/>
      </w:tabs>
      <w:suppressAutoHyphens/>
      <w:jc w:val="center"/>
      <w:outlineLvl w:val="1"/>
    </w:pPr>
    <w:rPr>
      <w:b/>
      <w:sz w:val="28"/>
      <w:szCs w:val="28"/>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A5AD5"/>
    <w:pPr>
      <w:autoSpaceDE w:val="0"/>
      <w:autoSpaceDN w:val="0"/>
      <w:adjustRightInd w:val="0"/>
    </w:pPr>
    <w:rPr>
      <w:rFonts w:ascii="TimesNewRomanPS-BoldMT" w:hAnsi="TimesNewRomanPS-BoldMT" w:cs="TimesNewRomanPS-BoldMT"/>
    </w:rPr>
  </w:style>
  <w:style w:type="paragraph" w:customStyle="1" w:styleId="Standard">
    <w:name w:val="Standard"/>
    <w:basedOn w:val="Default"/>
    <w:next w:val="Default"/>
    <w:rsid w:val="007A5AD5"/>
    <w:pPr>
      <w:spacing w:before="240"/>
    </w:pPr>
    <w:rPr>
      <w:rFonts w:cs="Times New Roman"/>
      <w:sz w:val="24"/>
      <w:szCs w:val="24"/>
    </w:rPr>
  </w:style>
  <w:style w:type="paragraph" w:customStyle="1" w:styleId="titoletti">
    <w:name w:val="titoletti"/>
    <w:basedOn w:val="Default"/>
    <w:next w:val="Default"/>
    <w:rsid w:val="007A5AD5"/>
    <w:pPr>
      <w:spacing w:before="360"/>
    </w:pPr>
    <w:rPr>
      <w:rFonts w:cs="Times New Roman"/>
      <w:sz w:val="24"/>
      <w:szCs w:val="24"/>
    </w:rPr>
  </w:style>
  <w:style w:type="paragraph" w:customStyle="1" w:styleId="Fuzeile">
    <w:name w:val="Fußzeile"/>
    <w:basedOn w:val="Default"/>
    <w:next w:val="Default"/>
    <w:rsid w:val="007A5AD5"/>
    <w:pPr>
      <w:spacing w:before="240"/>
    </w:pPr>
    <w:rPr>
      <w:rFonts w:cs="Times New Roman"/>
      <w:sz w:val="24"/>
      <w:szCs w:val="24"/>
    </w:rPr>
  </w:style>
  <w:style w:type="paragraph" w:customStyle="1" w:styleId="Textkrper-Einzug2">
    <w:name w:val="Textkörper-Einzug 2"/>
    <w:basedOn w:val="Default"/>
    <w:next w:val="Default"/>
    <w:rsid w:val="007A5AD5"/>
    <w:pPr>
      <w:spacing w:before="240" w:after="120"/>
    </w:pPr>
    <w:rPr>
      <w:rFonts w:cs="Times New Roman"/>
      <w:sz w:val="24"/>
      <w:szCs w:val="24"/>
    </w:rPr>
  </w:style>
  <w:style w:type="paragraph" w:customStyle="1" w:styleId="U2Title3">
    <w:name w:val="U2 Title 3"/>
    <w:basedOn w:val="Normal"/>
    <w:rsid w:val="007A5AD5"/>
    <w:pPr>
      <w:tabs>
        <w:tab w:val="left" w:pos="2160"/>
      </w:tabs>
      <w:spacing w:before="60"/>
    </w:pPr>
    <w:rPr>
      <w:rFonts w:ascii="Verdana" w:hAnsi="Verdana"/>
      <w:b/>
      <w:bCs/>
      <w:sz w:val="28"/>
      <w:szCs w:val="28"/>
      <w:lang w:val="fr-FR" w:eastAsia="en-US"/>
    </w:rPr>
  </w:style>
  <w:style w:type="paragraph" w:styleId="Cabealho">
    <w:name w:val="header"/>
    <w:basedOn w:val="Normal"/>
    <w:rsid w:val="007A5AD5"/>
    <w:pPr>
      <w:tabs>
        <w:tab w:val="center" w:pos="4536"/>
        <w:tab w:val="right" w:pos="9072"/>
      </w:tabs>
    </w:pPr>
  </w:style>
  <w:style w:type="paragraph" w:styleId="Rodap">
    <w:name w:val="footer"/>
    <w:basedOn w:val="Normal"/>
    <w:rsid w:val="007A5AD5"/>
    <w:pPr>
      <w:tabs>
        <w:tab w:val="center" w:pos="4536"/>
        <w:tab w:val="right" w:pos="9072"/>
      </w:tabs>
    </w:pPr>
  </w:style>
  <w:style w:type="character" w:styleId="Nmerodepgina">
    <w:name w:val="page number"/>
    <w:basedOn w:val="Tipodeletrapredefinidodopargrafo"/>
    <w:rsid w:val="007A5AD5"/>
  </w:style>
  <w:style w:type="paragraph" w:styleId="Corpodetexto2">
    <w:name w:val="Body Text 2"/>
    <w:basedOn w:val="Normal"/>
    <w:rsid w:val="007A5AD5"/>
    <w:pPr>
      <w:spacing w:before="0"/>
    </w:pPr>
    <w:rPr>
      <w:rFonts w:ascii="Arial" w:hAnsi="Arial"/>
      <w:sz w:val="20"/>
      <w:lang w:val="de-DE" w:eastAsia="fr-FR"/>
    </w:rPr>
  </w:style>
  <w:style w:type="paragraph" w:styleId="Textodebalo">
    <w:name w:val="Balloon Text"/>
    <w:basedOn w:val="Normal"/>
    <w:link w:val="TextodebaloCarter"/>
    <w:semiHidden/>
    <w:rsid w:val="007A5AD5"/>
    <w:rPr>
      <w:rFonts w:ascii="Tahoma" w:hAnsi="Tahoma" w:cs="Tahoma"/>
      <w:sz w:val="16"/>
      <w:szCs w:val="16"/>
    </w:rPr>
  </w:style>
  <w:style w:type="paragraph" w:customStyle="1" w:styleId="TitreFactSheet">
    <w:name w:val="Titre Fact Sheet"/>
    <w:basedOn w:val="U2Title3"/>
    <w:rsid w:val="007A5AD5"/>
    <w:pPr>
      <w:spacing w:before="120" w:after="120"/>
      <w:jc w:val="center"/>
    </w:pPr>
    <w:rPr>
      <w:b w:val="0"/>
      <w:bCs w:val="0"/>
      <w:lang w:val="en-GB"/>
    </w:rPr>
  </w:style>
  <w:style w:type="paragraph" w:styleId="Corpodetexto">
    <w:name w:val="Body Text"/>
    <w:basedOn w:val="Normal"/>
    <w:rsid w:val="007A5AD5"/>
    <w:pPr>
      <w:spacing w:before="60" w:after="240"/>
    </w:pPr>
    <w:rPr>
      <w:rFonts w:ascii="Verdana" w:hAnsi="Verdana"/>
      <w:szCs w:val="24"/>
      <w:lang w:eastAsia="fr-FR"/>
    </w:rPr>
  </w:style>
  <w:style w:type="paragraph" w:customStyle="1" w:styleId="TWDtext">
    <w:name w:val="TWD text"/>
    <w:basedOn w:val="Normal"/>
    <w:rsid w:val="007A5AD5"/>
    <w:pPr>
      <w:spacing w:before="0"/>
    </w:pPr>
    <w:rPr>
      <w:rFonts w:ascii="Verdana" w:hAnsi="Verdana"/>
      <w:szCs w:val="24"/>
      <w:lang w:val="fr-FR" w:eastAsia="fr-FR"/>
    </w:rPr>
  </w:style>
  <w:style w:type="paragraph" w:customStyle="1" w:styleId="Text1">
    <w:name w:val="Text 1"/>
    <w:basedOn w:val="Normal"/>
    <w:rsid w:val="007A5AD5"/>
    <w:pPr>
      <w:tabs>
        <w:tab w:val="left" w:pos="2160"/>
      </w:tabs>
      <w:spacing w:before="0" w:after="240"/>
      <w:ind w:left="1440"/>
    </w:pPr>
    <w:rPr>
      <w:szCs w:val="24"/>
      <w:lang w:eastAsia="en-US"/>
    </w:rPr>
  </w:style>
  <w:style w:type="paragraph" w:styleId="Corpodetexto3">
    <w:name w:val="Body Text 3"/>
    <w:basedOn w:val="Normal"/>
    <w:rsid w:val="007A5AD5"/>
    <w:pPr>
      <w:spacing w:before="0"/>
    </w:pPr>
    <w:rPr>
      <w:rFonts w:ascii="Verdana" w:hAnsi="Verdana"/>
      <w:sz w:val="22"/>
    </w:rPr>
  </w:style>
  <w:style w:type="character" w:styleId="nfase">
    <w:name w:val="Emphasis"/>
    <w:basedOn w:val="Tipodeletrapredefinidodopargrafo"/>
    <w:qFormat/>
    <w:rsid w:val="007A5AD5"/>
    <w:rPr>
      <w:i/>
      <w:iCs/>
    </w:rPr>
  </w:style>
  <w:style w:type="paragraph" w:styleId="Textodenotaderodap">
    <w:name w:val="footnote text"/>
    <w:basedOn w:val="Normal"/>
    <w:semiHidden/>
    <w:rsid w:val="007A5AD5"/>
    <w:rPr>
      <w:sz w:val="20"/>
    </w:rPr>
  </w:style>
  <w:style w:type="character" w:styleId="Refdenotaderodap">
    <w:name w:val="footnote reference"/>
    <w:basedOn w:val="Tipodeletrapredefinidodopargrafo"/>
    <w:semiHidden/>
    <w:rsid w:val="007A5AD5"/>
    <w:rPr>
      <w:vertAlign w:val="superscript"/>
    </w:rPr>
  </w:style>
  <w:style w:type="paragraph" w:customStyle="1" w:styleId="ListNumberLevel2">
    <w:name w:val="List Number (Level 2)"/>
    <w:basedOn w:val="Normal"/>
    <w:rsid w:val="007A5AD5"/>
    <w:pPr>
      <w:tabs>
        <w:tab w:val="num" w:pos="360"/>
      </w:tabs>
      <w:spacing w:before="0" w:after="240"/>
      <w:ind w:left="360" w:hanging="360"/>
    </w:pPr>
    <w:rPr>
      <w:szCs w:val="24"/>
      <w:lang w:eastAsia="fr-FR"/>
    </w:rPr>
  </w:style>
  <w:style w:type="paragraph" w:styleId="Avanodecorpodetexto">
    <w:name w:val="Body Text Indent"/>
    <w:basedOn w:val="Normal"/>
    <w:rsid w:val="007A5AD5"/>
    <w:pPr>
      <w:tabs>
        <w:tab w:val="left" w:pos="-1440"/>
        <w:tab w:val="left" w:pos="-720"/>
        <w:tab w:val="left" w:pos="0"/>
      </w:tabs>
      <w:spacing w:before="120"/>
      <w:ind w:left="708"/>
      <w:jc w:val="left"/>
    </w:pPr>
    <w:rPr>
      <w:rFonts w:ascii="Tahoma" w:hAnsi="Tahoma" w:cs="Tahoma"/>
      <w:sz w:val="20"/>
      <w:lang w:val="en-US" w:eastAsia="fr-FR"/>
    </w:rPr>
  </w:style>
  <w:style w:type="paragraph" w:styleId="Reviso">
    <w:name w:val="Revision"/>
    <w:hidden/>
    <w:uiPriority w:val="99"/>
    <w:semiHidden/>
    <w:rsid w:val="00125475"/>
    <w:rPr>
      <w:sz w:val="24"/>
      <w:lang w:val="en-GB" w:eastAsia="de-DE"/>
    </w:rPr>
  </w:style>
  <w:style w:type="character" w:customStyle="1" w:styleId="TextodebaloCarter">
    <w:name w:val="Texto de balão Caráter"/>
    <w:basedOn w:val="Tipodeletrapredefinidodopargrafo"/>
    <w:link w:val="Textodebalo"/>
    <w:semiHidden/>
    <w:rsid w:val="00DD6C84"/>
    <w:rPr>
      <w:rFonts w:ascii="Tahoma" w:hAnsi="Tahoma" w:cs="Tahoma"/>
      <w:sz w:val="16"/>
      <w:szCs w:val="16"/>
      <w:lang w:val="en-GB" w:eastAsia="de-DE"/>
    </w:rPr>
  </w:style>
  <w:style w:type="table" w:styleId="TabelacomGrelha">
    <w:name w:val="Table Grid"/>
    <w:basedOn w:val="Tabelanormal"/>
    <w:rsid w:val="007B2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basedOn w:val="Tipodeletrapredefinidodopargrafo"/>
    <w:uiPriority w:val="99"/>
    <w:unhideWhenUsed/>
    <w:rsid w:val="00C426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10258">
      <w:bodyDiv w:val="1"/>
      <w:marLeft w:val="0"/>
      <w:marRight w:val="0"/>
      <w:marTop w:val="0"/>
      <w:marBottom w:val="0"/>
      <w:divBdr>
        <w:top w:val="none" w:sz="0" w:space="0" w:color="auto"/>
        <w:left w:val="none" w:sz="0" w:space="0" w:color="auto"/>
        <w:bottom w:val="none" w:sz="0" w:space="0" w:color="auto"/>
        <w:right w:val="none" w:sz="0" w:space="0" w:color="auto"/>
      </w:divBdr>
    </w:div>
    <w:div w:id="219444508">
      <w:bodyDiv w:val="1"/>
      <w:marLeft w:val="0"/>
      <w:marRight w:val="0"/>
      <w:marTop w:val="0"/>
      <w:marBottom w:val="0"/>
      <w:divBdr>
        <w:top w:val="none" w:sz="0" w:space="0" w:color="auto"/>
        <w:left w:val="none" w:sz="0" w:space="0" w:color="auto"/>
        <w:bottom w:val="none" w:sz="0" w:space="0" w:color="auto"/>
        <w:right w:val="none" w:sz="0" w:space="0" w:color="auto"/>
      </w:divBdr>
    </w:div>
    <w:div w:id="450822556">
      <w:bodyDiv w:val="1"/>
      <w:marLeft w:val="0"/>
      <w:marRight w:val="0"/>
      <w:marTop w:val="0"/>
      <w:marBottom w:val="0"/>
      <w:divBdr>
        <w:top w:val="none" w:sz="0" w:space="0" w:color="auto"/>
        <w:left w:val="none" w:sz="0" w:space="0" w:color="auto"/>
        <w:bottom w:val="none" w:sz="0" w:space="0" w:color="auto"/>
        <w:right w:val="none" w:sz="0" w:space="0" w:color="auto"/>
      </w:divBdr>
    </w:div>
    <w:div w:id="724136793">
      <w:bodyDiv w:val="1"/>
      <w:marLeft w:val="0"/>
      <w:marRight w:val="0"/>
      <w:marTop w:val="0"/>
      <w:marBottom w:val="0"/>
      <w:divBdr>
        <w:top w:val="none" w:sz="0" w:space="0" w:color="auto"/>
        <w:left w:val="none" w:sz="0" w:space="0" w:color="auto"/>
        <w:bottom w:val="none" w:sz="0" w:space="0" w:color="auto"/>
        <w:right w:val="none" w:sz="0" w:space="0" w:color="auto"/>
      </w:divBdr>
    </w:div>
    <w:div w:id="728962528">
      <w:bodyDiv w:val="1"/>
      <w:marLeft w:val="0"/>
      <w:marRight w:val="0"/>
      <w:marTop w:val="0"/>
      <w:marBottom w:val="0"/>
      <w:divBdr>
        <w:top w:val="none" w:sz="0" w:space="0" w:color="auto"/>
        <w:left w:val="none" w:sz="0" w:space="0" w:color="auto"/>
        <w:bottom w:val="none" w:sz="0" w:space="0" w:color="auto"/>
        <w:right w:val="none" w:sz="0" w:space="0" w:color="auto"/>
      </w:divBdr>
    </w:div>
    <w:div w:id="817500008">
      <w:bodyDiv w:val="1"/>
      <w:marLeft w:val="0"/>
      <w:marRight w:val="0"/>
      <w:marTop w:val="0"/>
      <w:marBottom w:val="0"/>
      <w:divBdr>
        <w:top w:val="none" w:sz="0" w:space="0" w:color="auto"/>
        <w:left w:val="none" w:sz="0" w:space="0" w:color="auto"/>
        <w:bottom w:val="none" w:sz="0" w:space="0" w:color="auto"/>
        <w:right w:val="none" w:sz="0" w:space="0" w:color="auto"/>
      </w:divBdr>
      <w:divsChild>
        <w:div w:id="617881518">
          <w:marLeft w:val="0"/>
          <w:marRight w:val="0"/>
          <w:marTop w:val="0"/>
          <w:marBottom w:val="0"/>
          <w:divBdr>
            <w:top w:val="none" w:sz="0" w:space="0" w:color="auto"/>
            <w:left w:val="none" w:sz="0" w:space="0" w:color="auto"/>
            <w:bottom w:val="none" w:sz="0" w:space="0" w:color="auto"/>
            <w:right w:val="none" w:sz="0" w:space="0" w:color="auto"/>
          </w:divBdr>
          <w:divsChild>
            <w:div w:id="265234209">
              <w:marLeft w:val="0"/>
              <w:marRight w:val="0"/>
              <w:marTop w:val="0"/>
              <w:marBottom w:val="0"/>
              <w:divBdr>
                <w:top w:val="none" w:sz="0" w:space="0" w:color="auto"/>
                <w:left w:val="none" w:sz="0" w:space="0" w:color="auto"/>
                <w:bottom w:val="none" w:sz="0" w:space="0" w:color="auto"/>
                <w:right w:val="none" w:sz="0" w:space="0" w:color="auto"/>
              </w:divBdr>
              <w:divsChild>
                <w:div w:id="100821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8188">
          <w:marLeft w:val="0"/>
          <w:marRight w:val="0"/>
          <w:marTop w:val="0"/>
          <w:marBottom w:val="0"/>
          <w:divBdr>
            <w:top w:val="none" w:sz="0" w:space="0" w:color="auto"/>
            <w:left w:val="none" w:sz="0" w:space="0" w:color="auto"/>
            <w:bottom w:val="none" w:sz="0" w:space="0" w:color="auto"/>
            <w:right w:val="none" w:sz="0" w:space="0" w:color="auto"/>
          </w:divBdr>
        </w:div>
        <w:div w:id="1264605618">
          <w:marLeft w:val="0"/>
          <w:marRight w:val="0"/>
          <w:marTop w:val="0"/>
          <w:marBottom w:val="0"/>
          <w:divBdr>
            <w:top w:val="none" w:sz="0" w:space="0" w:color="auto"/>
            <w:left w:val="none" w:sz="0" w:space="0" w:color="auto"/>
            <w:bottom w:val="none" w:sz="0" w:space="0" w:color="auto"/>
            <w:right w:val="none" w:sz="0" w:space="0" w:color="auto"/>
          </w:divBdr>
          <w:divsChild>
            <w:div w:id="690759268">
              <w:marLeft w:val="0"/>
              <w:marRight w:val="0"/>
              <w:marTop w:val="0"/>
              <w:marBottom w:val="0"/>
              <w:divBdr>
                <w:top w:val="none" w:sz="0" w:space="0" w:color="auto"/>
                <w:left w:val="none" w:sz="0" w:space="0" w:color="auto"/>
                <w:bottom w:val="none" w:sz="0" w:space="0" w:color="auto"/>
                <w:right w:val="none" w:sz="0" w:space="0" w:color="auto"/>
              </w:divBdr>
              <w:divsChild>
                <w:div w:id="2060742081">
                  <w:marLeft w:val="0"/>
                  <w:marRight w:val="0"/>
                  <w:marTop w:val="0"/>
                  <w:marBottom w:val="0"/>
                  <w:divBdr>
                    <w:top w:val="none" w:sz="0" w:space="0" w:color="auto"/>
                    <w:left w:val="none" w:sz="0" w:space="0" w:color="auto"/>
                    <w:bottom w:val="none" w:sz="0" w:space="0" w:color="auto"/>
                    <w:right w:val="none" w:sz="0" w:space="0" w:color="auto"/>
                  </w:divBdr>
                  <w:divsChild>
                    <w:div w:id="1598707054">
                      <w:marLeft w:val="0"/>
                      <w:marRight w:val="0"/>
                      <w:marTop w:val="0"/>
                      <w:marBottom w:val="0"/>
                      <w:divBdr>
                        <w:top w:val="none" w:sz="0" w:space="0" w:color="auto"/>
                        <w:left w:val="none" w:sz="0" w:space="0" w:color="auto"/>
                        <w:bottom w:val="none" w:sz="0" w:space="0" w:color="auto"/>
                        <w:right w:val="none" w:sz="0" w:space="0" w:color="auto"/>
                      </w:divBdr>
                      <w:divsChild>
                        <w:div w:id="2983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78169">
          <w:marLeft w:val="0"/>
          <w:marRight w:val="0"/>
          <w:marTop w:val="0"/>
          <w:marBottom w:val="0"/>
          <w:divBdr>
            <w:top w:val="none" w:sz="0" w:space="0" w:color="auto"/>
            <w:left w:val="none" w:sz="0" w:space="0" w:color="auto"/>
            <w:bottom w:val="none" w:sz="0" w:space="0" w:color="auto"/>
            <w:right w:val="none" w:sz="0" w:space="0" w:color="auto"/>
          </w:divBdr>
          <w:divsChild>
            <w:div w:id="1065685347">
              <w:marLeft w:val="0"/>
              <w:marRight w:val="0"/>
              <w:marTop w:val="0"/>
              <w:marBottom w:val="0"/>
              <w:divBdr>
                <w:top w:val="none" w:sz="0" w:space="0" w:color="auto"/>
                <w:left w:val="none" w:sz="0" w:space="0" w:color="auto"/>
                <w:bottom w:val="none" w:sz="0" w:space="0" w:color="auto"/>
                <w:right w:val="none" w:sz="0" w:space="0" w:color="auto"/>
              </w:divBdr>
              <w:divsChild>
                <w:div w:id="1606308331">
                  <w:marLeft w:val="0"/>
                  <w:marRight w:val="0"/>
                  <w:marTop w:val="0"/>
                  <w:marBottom w:val="0"/>
                  <w:divBdr>
                    <w:top w:val="none" w:sz="0" w:space="0" w:color="auto"/>
                    <w:left w:val="none" w:sz="0" w:space="0" w:color="auto"/>
                    <w:bottom w:val="none" w:sz="0" w:space="0" w:color="auto"/>
                    <w:right w:val="none" w:sz="0" w:space="0" w:color="auto"/>
                  </w:divBdr>
                  <w:divsChild>
                    <w:div w:id="59059786">
                      <w:marLeft w:val="0"/>
                      <w:marRight w:val="0"/>
                      <w:marTop w:val="0"/>
                      <w:marBottom w:val="0"/>
                      <w:divBdr>
                        <w:top w:val="none" w:sz="0" w:space="0" w:color="auto"/>
                        <w:left w:val="none" w:sz="0" w:space="0" w:color="auto"/>
                        <w:bottom w:val="none" w:sz="0" w:space="0" w:color="auto"/>
                        <w:right w:val="none" w:sz="0" w:space="0" w:color="auto"/>
                      </w:divBdr>
                      <w:divsChild>
                        <w:div w:id="1701971131">
                          <w:marLeft w:val="0"/>
                          <w:marRight w:val="0"/>
                          <w:marTop w:val="0"/>
                          <w:marBottom w:val="0"/>
                          <w:divBdr>
                            <w:top w:val="none" w:sz="0" w:space="0" w:color="auto"/>
                            <w:left w:val="none" w:sz="0" w:space="0" w:color="auto"/>
                            <w:bottom w:val="none" w:sz="0" w:space="0" w:color="auto"/>
                            <w:right w:val="none" w:sz="0" w:space="0" w:color="auto"/>
                          </w:divBdr>
                          <w:divsChild>
                            <w:div w:id="41374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620332">
      <w:bodyDiv w:val="1"/>
      <w:marLeft w:val="0"/>
      <w:marRight w:val="0"/>
      <w:marTop w:val="0"/>
      <w:marBottom w:val="0"/>
      <w:divBdr>
        <w:top w:val="none" w:sz="0" w:space="0" w:color="auto"/>
        <w:left w:val="none" w:sz="0" w:space="0" w:color="auto"/>
        <w:bottom w:val="none" w:sz="0" w:space="0" w:color="auto"/>
        <w:right w:val="none" w:sz="0" w:space="0" w:color="auto"/>
      </w:divBdr>
      <w:divsChild>
        <w:div w:id="1978562937">
          <w:marLeft w:val="0"/>
          <w:marRight w:val="0"/>
          <w:marTop w:val="0"/>
          <w:marBottom w:val="0"/>
          <w:divBdr>
            <w:top w:val="none" w:sz="0" w:space="0" w:color="auto"/>
            <w:left w:val="none" w:sz="0" w:space="0" w:color="auto"/>
            <w:bottom w:val="none" w:sz="0" w:space="0" w:color="auto"/>
            <w:right w:val="none" w:sz="0" w:space="0" w:color="auto"/>
          </w:divBdr>
        </w:div>
        <w:div w:id="826020713">
          <w:marLeft w:val="0"/>
          <w:marRight w:val="0"/>
          <w:marTop w:val="0"/>
          <w:marBottom w:val="0"/>
          <w:divBdr>
            <w:top w:val="none" w:sz="0" w:space="0" w:color="auto"/>
            <w:left w:val="none" w:sz="0" w:space="0" w:color="auto"/>
            <w:bottom w:val="none" w:sz="0" w:space="0" w:color="auto"/>
            <w:right w:val="none" w:sz="0" w:space="0" w:color="auto"/>
          </w:divBdr>
        </w:div>
        <w:div w:id="599676502">
          <w:marLeft w:val="0"/>
          <w:marRight w:val="0"/>
          <w:marTop w:val="0"/>
          <w:marBottom w:val="0"/>
          <w:divBdr>
            <w:top w:val="none" w:sz="0" w:space="0" w:color="auto"/>
            <w:left w:val="none" w:sz="0" w:space="0" w:color="auto"/>
            <w:bottom w:val="none" w:sz="0" w:space="0" w:color="auto"/>
            <w:right w:val="none" w:sz="0" w:space="0" w:color="auto"/>
          </w:divBdr>
        </w:div>
        <w:div w:id="1443577527">
          <w:marLeft w:val="0"/>
          <w:marRight w:val="0"/>
          <w:marTop w:val="0"/>
          <w:marBottom w:val="0"/>
          <w:divBdr>
            <w:top w:val="none" w:sz="0" w:space="0" w:color="auto"/>
            <w:left w:val="none" w:sz="0" w:space="0" w:color="auto"/>
            <w:bottom w:val="none" w:sz="0" w:space="0" w:color="auto"/>
            <w:right w:val="none" w:sz="0" w:space="0" w:color="auto"/>
          </w:divBdr>
        </w:div>
        <w:div w:id="138351784">
          <w:marLeft w:val="0"/>
          <w:marRight w:val="0"/>
          <w:marTop w:val="0"/>
          <w:marBottom w:val="0"/>
          <w:divBdr>
            <w:top w:val="none" w:sz="0" w:space="0" w:color="auto"/>
            <w:left w:val="none" w:sz="0" w:space="0" w:color="auto"/>
            <w:bottom w:val="none" w:sz="0" w:space="0" w:color="auto"/>
            <w:right w:val="none" w:sz="0" w:space="0" w:color="auto"/>
          </w:divBdr>
        </w:div>
        <w:div w:id="226840635">
          <w:marLeft w:val="0"/>
          <w:marRight w:val="0"/>
          <w:marTop w:val="0"/>
          <w:marBottom w:val="0"/>
          <w:divBdr>
            <w:top w:val="none" w:sz="0" w:space="0" w:color="auto"/>
            <w:left w:val="none" w:sz="0" w:space="0" w:color="auto"/>
            <w:bottom w:val="none" w:sz="0" w:space="0" w:color="auto"/>
            <w:right w:val="none" w:sz="0" w:space="0" w:color="auto"/>
          </w:divBdr>
        </w:div>
        <w:div w:id="169025066">
          <w:marLeft w:val="0"/>
          <w:marRight w:val="0"/>
          <w:marTop w:val="0"/>
          <w:marBottom w:val="0"/>
          <w:divBdr>
            <w:top w:val="none" w:sz="0" w:space="0" w:color="auto"/>
            <w:left w:val="none" w:sz="0" w:space="0" w:color="auto"/>
            <w:bottom w:val="none" w:sz="0" w:space="0" w:color="auto"/>
            <w:right w:val="none" w:sz="0" w:space="0" w:color="auto"/>
          </w:divBdr>
        </w:div>
        <w:div w:id="1125467925">
          <w:marLeft w:val="0"/>
          <w:marRight w:val="0"/>
          <w:marTop w:val="0"/>
          <w:marBottom w:val="0"/>
          <w:divBdr>
            <w:top w:val="none" w:sz="0" w:space="0" w:color="auto"/>
            <w:left w:val="none" w:sz="0" w:space="0" w:color="auto"/>
            <w:bottom w:val="none" w:sz="0" w:space="0" w:color="auto"/>
            <w:right w:val="none" w:sz="0" w:space="0" w:color="auto"/>
          </w:divBdr>
        </w:div>
        <w:div w:id="296449828">
          <w:marLeft w:val="0"/>
          <w:marRight w:val="0"/>
          <w:marTop w:val="0"/>
          <w:marBottom w:val="0"/>
          <w:divBdr>
            <w:top w:val="none" w:sz="0" w:space="0" w:color="auto"/>
            <w:left w:val="none" w:sz="0" w:space="0" w:color="auto"/>
            <w:bottom w:val="none" w:sz="0" w:space="0" w:color="auto"/>
            <w:right w:val="none" w:sz="0" w:space="0" w:color="auto"/>
          </w:divBdr>
        </w:div>
        <w:div w:id="1386834414">
          <w:marLeft w:val="0"/>
          <w:marRight w:val="0"/>
          <w:marTop w:val="0"/>
          <w:marBottom w:val="0"/>
          <w:divBdr>
            <w:top w:val="none" w:sz="0" w:space="0" w:color="auto"/>
            <w:left w:val="none" w:sz="0" w:space="0" w:color="auto"/>
            <w:bottom w:val="none" w:sz="0" w:space="0" w:color="auto"/>
            <w:right w:val="none" w:sz="0" w:space="0" w:color="auto"/>
          </w:divBdr>
        </w:div>
        <w:div w:id="2022274858">
          <w:marLeft w:val="0"/>
          <w:marRight w:val="0"/>
          <w:marTop w:val="0"/>
          <w:marBottom w:val="0"/>
          <w:divBdr>
            <w:top w:val="none" w:sz="0" w:space="0" w:color="auto"/>
            <w:left w:val="none" w:sz="0" w:space="0" w:color="auto"/>
            <w:bottom w:val="none" w:sz="0" w:space="0" w:color="auto"/>
            <w:right w:val="none" w:sz="0" w:space="0" w:color="auto"/>
          </w:divBdr>
        </w:div>
        <w:div w:id="1009134404">
          <w:marLeft w:val="0"/>
          <w:marRight w:val="0"/>
          <w:marTop w:val="0"/>
          <w:marBottom w:val="0"/>
          <w:divBdr>
            <w:top w:val="none" w:sz="0" w:space="0" w:color="auto"/>
            <w:left w:val="none" w:sz="0" w:space="0" w:color="auto"/>
            <w:bottom w:val="none" w:sz="0" w:space="0" w:color="auto"/>
            <w:right w:val="none" w:sz="0" w:space="0" w:color="auto"/>
          </w:divBdr>
        </w:div>
        <w:div w:id="1933204143">
          <w:marLeft w:val="0"/>
          <w:marRight w:val="0"/>
          <w:marTop w:val="0"/>
          <w:marBottom w:val="0"/>
          <w:divBdr>
            <w:top w:val="none" w:sz="0" w:space="0" w:color="auto"/>
            <w:left w:val="none" w:sz="0" w:space="0" w:color="auto"/>
            <w:bottom w:val="none" w:sz="0" w:space="0" w:color="auto"/>
            <w:right w:val="none" w:sz="0" w:space="0" w:color="auto"/>
          </w:divBdr>
        </w:div>
        <w:div w:id="487207398">
          <w:marLeft w:val="0"/>
          <w:marRight w:val="0"/>
          <w:marTop w:val="0"/>
          <w:marBottom w:val="0"/>
          <w:divBdr>
            <w:top w:val="none" w:sz="0" w:space="0" w:color="auto"/>
            <w:left w:val="none" w:sz="0" w:space="0" w:color="auto"/>
            <w:bottom w:val="none" w:sz="0" w:space="0" w:color="auto"/>
            <w:right w:val="none" w:sz="0" w:space="0" w:color="auto"/>
          </w:divBdr>
        </w:div>
        <w:div w:id="1418749613">
          <w:marLeft w:val="0"/>
          <w:marRight w:val="0"/>
          <w:marTop w:val="0"/>
          <w:marBottom w:val="0"/>
          <w:divBdr>
            <w:top w:val="none" w:sz="0" w:space="0" w:color="auto"/>
            <w:left w:val="none" w:sz="0" w:space="0" w:color="auto"/>
            <w:bottom w:val="none" w:sz="0" w:space="0" w:color="auto"/>
            <w:right w:val="none" w:sz="0" w:space="0" w:color="auto"/>
          </w:divBdr>
        </w:div>
        <w:div w:id="330722084">
          <w:marLeft w:val="0"/>
          <w:marRight w:val="0"/>
          <w:marTop w:val="0"/>
          <w:marBottom w:val="0"/>
          <w:divBdr>
            <w:top w:val="none" w:sz="0" w:space="0" w:color="auto"/>
            <w:left w:val="none" w:sz="0" w:space="0" w:color="auto"/>
            <w:bottom w:val="none" w:sz="0" w:space="0" w:color="auto"/>
            <w:right w:val="none" w:sz="0" w:space="0" w:color="auto"/>
          </w:divBdr>
        </w:div>
        <w:div w:id="1979991842">
          <w:marLeft w:val="0"/>
          <w:marRight w:val="0"/>
          <w:marTop w:val="0"/>
          <w:marBottom w:val="0"/>
          <w:divBdr>
            <w:top w:val="none" w:sz="0" w:space="0" w:color="auto"/>
            <w:left w:val="none" w:sz="0" w:space="0" w:color="auto"/>
            <w:bottom w:val="none" w:sz="0" w:space="0" w:color="auto"/>
            <w:right w:val="none" w:sz="0" w:space="0" w:color="auto"/>
          </w:divBdr>
        </w:div>
        <w:div w:id="223375872">
          <w:marLeft w:val="0"/>
          <w:marRight w:val="0"/>
          <w:marTop w:val="0"/>
          <w:marBottom w:val="0"/>
          <w:divBdr>
            <w:top w:val="none" w:sz="0" w:space="0" w:color="auto"/>
            <w:left w:val="none" w:sz="0" w:space="0" w:color="auto"/>
            <w:bottom w:val="none" w:sz="0" w:space="0" w:color="auto"/>
            <w:right w:val="none" w:sz="0" w:space="0" w:color="auto"/>
          </w:divBdr>
        </w:div>
        <w:div w:id="573274814">
          <w:marLeft w:val="0"/>
          <w:marRight w:val="0"/>
          <w:marTop w:val="0"/>
          <w:marBottom w:val="0"/>
          <w:divBdr>
            <w:top w:val="none" w:sz="0" w:space="0" w:color="auto"/>
            <w:left w:val="none" w:sz="0" w:space="0" w:color="auto"/>
            <w:bottom w:val="none" w:sz="0" w:space="0" w:color="auto"/>
            <w:right w:val="none" w:sz="0" w:space="0" w:color="auto"/>
          </w:divBdr>
        </w:div>
        <w:div w:id="2125031411">
          <w:marLeft w:val="0"/>
          <w:marRight w:val="0"/>
          <w:marTop w:val="0"/>
          <w:marBottom w:val="0"/>
          <w:divBdr>
            <w:top w:val="none" w:sz="0" w:space="0" w:color="auto"/>
            <w:left w:val="none" w:sz="0" w:space="0" w:color="auto"/>
            <w:bottom w:val="none" w:sz="0" w:space="0" w:color="auto"/>
            <w:right w:val="none" w:sz="0" w:space="0" w:color="auto"/>
          </w:divBdr>
        </w:div>
        <w:div w:id="63115491">
          <w:marLeft w:val="0"/>
          <w:marRight w:val="0"/>
          <w:marTop w:val="0"/>
          <w:marBottom w:val="0"/>
          <w:divBdr>
            <w:top w:val="none" w:sz="0" w:space="0" w:color="auto"/>
            <w:left w:val="none" w:sz="0" w:space="0" w:color="auto"/>
            <w:bottom w:val="none" w:sz="0" w:space="0" w:color="auto"/>
            <w:right w:val="none" w:sz="0" w:space="0" w:color="auto"/>
          </w:divBdr>
        </w:div>
        <w:div w:id="1920211698">
          <w:marLeft w:val="0"/>
          <w:marRight w:val="0"/>
          <w:marTop w:val="0"/>
          <w:marBottom w:val="0"/>
          <w:divBdr>
            <w:top w:val="none" w:sz="0" w:space="0" w:color="auto"/>
            <w:left w:val="none" w:sz="0" w:space="0" w:color="auto"/>
            <w:bottom w:val="none" w:sz="0" w:space="0" w:color="auto"/>
            <w:right w:val="none" w:sz="0" w:space="0" w:color="auto"/>
          </w:divBdr>
        </w:div>
        <w:div w:id="1413623369">
          <w:marLeft w:val="0"/>
          <w:marRight w:val="0"/>
          <w:marTop w:val="0"/>
          <w:marBottom w:val="0"/>
          <w:divBdr>
            <w:top w:val="none" w:sz="0" w:space="0" w:color="auto"/>
            <w:left w:val="none" w:sz="0" w:space="0" w:color="auto"/>
            <w:bottom w:val="none" w:sz="0" w:space="0" w:color="auto"/>
            <w:right w:val="none" w:sz="0" w:space="0" w:color="auto"/>
          </w:divBdr>
        </w:div>
        <w:div w:id="1198273553">
          <w:marLeft w:val="0"/>
          <w:marRight w:val="0"/>
          <w:marTop w:val="0"/>
          <w:marBottom w:val="0"/>
          <w:divBdr>
            <w:top w:val="none" w:sz="0" w:space="0" w:color="auto"/>
            <w:left w:val="none" w:sz="0" w:space="0" w:color="auto"/>
            <w:bottom w:val="none" w:sz="0" w:space="0" w:color="auto"/>
            <w:right w:val="none" w:sz="0" w:space="0" w:color="auto"/>
          </w:divBdr>
        </w:div>
        <w:div w:id="147793192">
          <w:marLeft w:val="0"/>
          <w:marRight w:val="0"/>
          <w:marTop w:val="0"/>
          <w:marBottom w:val="0"/>
          <w:divBdr>
            <w:top w:val="none" w:sz="0" w:space="0" w:color="auto"/>
            <w:left w:val="none" w:sz="0" w:space="0" w:color="auto"/>
            <w:bottom w:val="none" w:sz="0" w:space="0" w:color="auto"/>
            <w:right w:val="none" w:sz="0" w:space="0" w:color="auto"/>
          </w:divBdr>
        </w:div>
        <w:div w:id="2134130188">
          <w:marLeft w:val="0"/>
          <w:marRight w:val="0"/>
          <w:marTop w:val="0"/>
          <w:marBottom w:val="0"/>
          <w:divBdr>
            <w:top w:val="none" w:sz="0" w:space="0" w:color="auto"/>
            <w:left w:val="none" w:sz="0" w:space="0" w:color="auto"/>
            <w:bottom w:val="none" w:sz="0" w:space="0" w:color="auto"/>
            <w:right w:val="none" w:sz="0" w:space="0" w:color="auto"/>
          </w:divBdr>
        </w:div>
        <w:div w:id="1705521139">
          <w:marLeft w:val="0"/>
          <w:marRight w:val="0"/>
          <w:marTop w:val="0"/>
          <w:marBottom w:val="0"/>
          <w:divBdr>
            <w:top w:val="none" w:sz="0" w:space="0" w:color="auto"/>
            <w:left w:val="none" w:sz="0" w:space="0" w:color="auto"/>
            <w:bottom w:val="none" w:sz="0" w:space="0" w:color="auto"/>
            <w:right w:val="none" w:sz="0" w:space="0" w:color="auto"/>
          </w:divBdr>
        </w:div>
        <w:div w:id="244075629">
          <w:marLeft w:val="0"/>
          <w:marRight w:val="0"/>
          <w:marTop w:val="0"/>
          <w:marBottom w:val="0"/>
          <w:divBdr>
            <w:top w:val="none" w:sz="0" w:space="0" w:color="auto"/>
            <w:left w:val="none" w:sz="0" w:space="0" w:color="auto"/>
            <w:bottom w:val="none" w:sz="0" w:space="0" w:color="auto"/>
            <w:right w:val="none" w:sz="0" w:space="0" w:color="auto"/>
          </w:divBdr>
        </w:div>
        <w:div w:id="400254526">
          <w:marLeft w:val="0"/>
          <w:marRight w:val="0"/>
          <w:marTop w:val="0"/>
          <w:marBottom w:val="0"/>
          <w:divBdr>
            <w:top w:val="none" w:sz="0" w:space="0" w:color="auto"/>
            <w:left w:val="none" w:sz="0" w:space="0" w:color="auto"/>
            <w:bottom w:val="none" w:sz="0" w:space="0" w:color="auto"/>
            <w:right w:val="none" w:sz="0" w:space="0" w:color="auto"/>
          </w:divBdr>
        </w:div>
        <w:div w:id="19399894">
          <w:marLeft w:val="0"/>
          <w:marRight w:val="0"/>
          <w:marTop w:val="0"/>
          <w:marBottom w:val="0"/>
          <w:divBdr>
            <w:top w:val="none" w:sz="0" w:space="0" w:color="auto"/>
            <w:left w:val="none" w:sz="0" w:space="0" w:color="auto"/>
            <w:bottom w:val="none" w:sz="0" w:space="0" w:color="auto"/>
            <w:right w:val="none" w:sz="0" w:space="0" w:color="auto"/>
          </w:divBdr>
        </w:div>
        <w:div w:id="187109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f52996-5235-4afa-be5d-e517b5cece1c" xsi:nil="true"/>
    <lcf76f155ced4ddcb4097134ff3c332f xmlns="26d20280-4bbb-45ed-be61-3c98b964d59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C1082195FF374E9AA068FE8DAC493C" ma:contentTypeVersion="16" ma:contentTypeDescription="Create a new document." ma:contentTypeScope="" ma:versionID="c49dbb456a78f004d279bc64fd458270">
  <xsd:schema xmlns:xsd="http://www.w3.org/2001/XMLSchema" xmlns:xs="http://www.w3.org/2001/XMLSchema" xmlns:p="http://schemas.microsoft.com/office/2006/metadata/properties" xmlns:ns2="26d20280-4bbb-45ed-be61-3c98b964d59e" xmlns:ns3="95f52996-5235-4afa-be5d-e517b5cece1c" targetNamespace="http://schemas.microsoft.com/office/2006/metadata/properties" ma:root="true" ma:fieldsID="605010cdae86ef00c6c76ab1c7255e7e" ns2:_="" ns3:_="">
    <xsd:import namespace="26d20280-4bbb-45ed-be61-3c98b964d59e"/>
    <xsd:import namespace="95f52996-5235-4afa-be5d-e517b5cece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20280-4bbb-45ed-be61-3c98b964d5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fd8593c-f829-4b35-8050-97483150b70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f52996-5235-4afa-be5d-e517b5cece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ab2a2f4-8d9c-4ec0-9919-942a2d4b74c3}" ma:internalName="TaxCatchAll" ma:showField="CatchAllData" ma:web="95f52996-5235-4afa-be5d-e517b5cec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1F0F5F-1FFD-49C3-AEBA-49DFD6C96A22}">
  <ds:schemaRefs>
    <ds:schemaRef ds:uri="http://schemas.microsoft.com/office/2006/metadata/properties"/>
    <ds:schemaRef ds:uri="http://schemas.microsoft.com/office/infopath/2007/PartnerControls"/>
    <ds:schemaRef ds:uri="95f52996-5235-4afa-be5d-e517b5cece1c"/>
    <ds:schemaRef ds:uri="26d20280-4bbb-45ed-be61-3c98b964d59e"/>
  </ds:schemaRefs>
</ds:datastoreItem>
</file>

<file path=customXml/itemProps2.xml><?xml version="1.0" encoding="utf-8"?>
<ds:datastoreItem xmlns:ds="http://schemas.openxmlformats.org/officeDocument/2006/customXml" ds:itemID="{DEB971B9-CDF6-4804-8DCC-A4E9DF280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20280-4bbb-45ed-be61-3c98b964d59e"/>
    <ds:schemaRef ds:uri="95f52996-5235-4afa-be5d-e517b5cec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0D6E0A-1093-4F79-9CD9-A06AD4726F3F}">
  <ds:schemaRefs>
    <ds:schemaRef ds:uri="http://schemas.openxmlformats.org/officeDocument/2006/bibliography"/>
  </ds:schemaRefs>
</ds:datastoreItem>
</file>

<file path=customXml/itemProps4.xml><?xml version="1.0" encoding="utf-8"?>
<ds:datastoreItem xmlns:ds="http://schemas.openxmlformats.org/officeDocument/2006/customXml" ds:itemID="{FF81FFE6-0E10-4DC3-974C-F9CD04235A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1103</Words>
  <Characters>5960</Characters>
  <Application>Microsoft Office Word</Application>
  <DocSecurity>0</DocSecurity>
  <Lines>49</Lines>
  <Paragraphs>14</Paragraphs>
  <ScaleCrop>false</ScaleCrop>
  <HeadingPairs>
    <vt:vector size="8" baseType="variant">
      <vt:variant>
        <vt:lpstr>Título</vt:lpstr>
      </vt:variant>
      <vt:variant>
        <vt:i4>1</vt:i4>
      </vt:variant>
      <vt:variant>
        <vt:lpstr>Cím</vt:lpstr>
      </vt:variant>
      <vt:variant>
        <vt:i4>1</vt:i4>
      </vt:variant>
      <vt:variant>
        <vt:lpstr>Title</vt:lpstr>
      </vt:variant>
      <vt:variant>
        <vt:i4>1</vt:i4>
      </vt:variant>
      <vt:variant>
        <vt:lpstr>Titre</vt:lpstr>
      </vt:variant>
      <vt:variant>
        <vt:i4>1</vt:i4>
      </vt:variant>
    </vt:vector>
  </HeadingPairs>
  <TitlesOfParts>
    <vt:vector size="4" baseType="lpstr">
      <vt:lpstr>EXAMPLE OF JOINT CONVENTION BETWEEN PARTNERS</vt:lpstr>
      <vt:lpstr>EXAMPLE OF JOINT CONVENTION BETWEEN PARTNERS</vt:lpstr>
      <vt:lpstr>EXAMPLE OF JOINT CONVENTION BETWEEN PARTNERS</vt:lpstr>
      <vt:lpstr>EXAMPLE OF JOINT CONVENTION BETWEEN PARTNERS</vt:lpstr>
    </vt:vector>
  </TitlesOfParts>
  <Company>SECRETARIAT URBACT</Company>
  <LinksUpToDate>false</LinksUpToDate>
  <CharactersWithSpaces>7049</CharactersWithSpaces>
  <SharedDoc>false</SharedDoc>
  <HLinks>
    <vt:vector size="24" baseType="variant">
      <vt:variant>
        <vt:i4>5111811</vt:i4>
      </vt:variant>
      <vt:variant>
        <vt:i4>9</vt:i4>
      </vt:variant>
      <vt:variant>
        <vt:i4>0</vt:i4>
      </vt:variant>
      <vt:variant>
        <vt:i4>5</vt:i4>
      </vt:variant>
      <vt:variant>
        <vt:lpwstr>http://eur-lex.europa.eu/LexUriServ/LexUriServ.do?uri=CELEX:31989L0665:EN:NOT</vt:lpwstr>
      </vt:variant>
      <vt:variant>
        <vt:lpwstr/>
      </vt:variant>
      <vt:variant>
        <vt:i4>5177359</vt:i4>
      </vt:variant>
      <vt:variant>
        <vt:i4>6</vt:i4>
      </vt:variant>
      <vt:variant>
        <vt:i4>0</vt:i4>
      </vt:variant>
      <vt:variant>
        <vt:i4>5</vt:i4>
      </vt:variant>
      <vt:variant>
        <vt:lpwstr>http://eur-lex.europa.eu/LexUriServ/LexUriServ.do?uri=CELEX:31992L0013:EN:NOT</vt:lpwstr>
      </vt:variant>
      <vt:variant>
        <vt:lpwstr/>
      </vt:variant>
      <vt:variant>
        <vt:i4>5111808</vt:i4>
      </vt:variant>
      <vt:variant>
        <vt:i4>3</vt:i4>
      </vt:variant>
      <vt:variant>
        <vt:i4>0</vt:i4>
      </vt:variant>
      <vt:variant>
        <vt:i4>5</vt:i4>
      </vt:variant>
      <vt:variant>
        <vt:lpwstr>http://eur-lex.europa.eu/LexUriServ/LexUriServ.do?uri=CELEX:32004L0018:EN:NOT</vt:lpwstr>
      </vt:variant>
      <vt:variant>
        <vt:lpwstr/>
      </vt:variant>
      <vt:variant>
        <vt:i4>4259840</vt:i4>
      </vt:variant>
      <vt:variant>
        <vt:i4>0</vt:i4>
      </vt:variant>
      <vt:variant>
        <vt:i4>0</vt:i4>
      </vt:variant>
      <vt:variant>
        <vt:i4>5</vt:i4>
      </vt:variant>
      <vt:variant>
        <vt:lpwstr>http://eur-lex.europa.eu/LexUriServ/LexUriServ.do?uri=CELEX:32004L0017:EN:NOT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OF JOINT CONVENTION BETWEEN PARTNERS</dc:title>
  <dc:creator>Sebastiano ZILLI</dc:creator>
  <cp:lastModifiedBy>Claudia Ferreira</cp:lastModifiedBy>
  <cp:revision>9</cp:revision>
  <cp:lastPrinted>2020-05-22T12:26:00Z</cp:lastPrinted>
  <dcterms:created xsi:type="dcterms:W3CDTF">2020-05-25T14:17:00Z</dcterms:created>
  <dcterms:modified xsi:type="dcterms:W3CDTF">2026-04-15T17:13:00Z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0x010100B4C1082195FF374E9AA068FE8DAC493C</vt:lpwstr>
  </property>
</Properties>
</file>